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5D1E8" w14:textId="6F3A697A" w:rsidR="00843208" w:rsidRDefault="00843208" w:rsidP="002B23B6">
      <w:pPr>
        <w:spacing w:after="0" w:line="240" w:lineRule="auto"/>
        <w:jc w:val="center"/>
        <w:rPr>
          <w:rFonts w:ascii="Verdana" w:hAnsi="Verdana" w:cs="Calibri"/>
          <w:b/>
          <w:bCs/>
          <w:color w:val="000000" w:themeColor="text1"/>
        </w:rPr>
      </w:pPr>
      <w:r>
        <w:rPr>
          <w:rFonts w:cs="Calibri"/>
          <w:noProof/>
          <w:color w:val="000000" w:themeColor="text1"/>
          <w:sz w:val="22"/>
          <w:szCs w:val="22"/>
        </w:rPr>
        <w:drawing>
          <wp:anchor distT="0" distB="0" distL="114300" distR="114300" simplePos="0" relativeHeight="251667456" behindDoc="1" locked="0" layoutInCell="1" allowOverlap="1" wp14:anchorId="2EED52C6" wp14:editId="56E7973C">
            <wp:simplePos x="0" y="0"/>
            <wp:positionH relativeFrom="column">
              <wp:posOffset>4401729</wp:posOffset>
            </wp:positionH>
            <wp:positionV relativeFrom="paragraph">
              <wp:posOffset>0</wp:posOffset>
            </wp:positionV>
            <wp:extent cx="1704975" cy="549910"/>
            <wp:effectExtent l="0" t="0" r="0" b="0"/>
            <wp:wrapTight wrapText="bothSides">
              <wp:wrapPolygon edited="0">
                <wp:start x="0" y="0"/>
                <wp:lineTo x="0" y="20952"/>
                <wp:lineTo x="21399" y="20952"/>
                <wp:lineTo x="21399" y="0"/>
                <wp:lineTo x="0" y="0"/>
              </wp:wrapPolygon>
            </wp:wrapTight>
            <wp:docPr id="902662721"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983232" name="Picture 1" descr="A black text on a white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04975" cy="549910"/>
                    </a:xfrm>
                    <a:prstGeom prst="rect">
                      <a:avLst/>
                    </a:prstGeom>
                  </pic:spPr>
                </pic:pic>
              </a:graphicData>
            </a:graphic>
            <wp14:sizeRelH relativeFrom="page">
              <wp14:pctWidth>0</wp14:pctWidth>
            </wp14:sizeRelH>
            <wp14:sizeRelV relativeFrom="page">
              <wp14:pctHeight>0</wp14:pctHeight>
            </wp14:sizeRelV>
          </wp:anchor>
        </w:drawing>
      </w:r>
    </w:p>
    <w:p w14:paraId="0BDD0DF4" w14:textId="77777777" w:rsidR="00843208" w:rsidRDefault="00843208" w:rsidP="002B23B6">
      <w:pPr>
        <w:spacing w:after="0" w:line="240" w:lineRule="auto"/>
        <w:jc w:val="center"/>
        <w:rPr>
          <w:rFonts w:ascii="Verdana" w:hAnsi="Verdana" w:cs="Calibri"/>
          <w:b/>
          <w:bCs/>
          <w:color w:val="000000" w:themeColor="text1"/>
        </w:rPr>
      </w:pPr>
    </w:p>
    <w:p w14:paraId="60F0E929" w14:textId="77777777" w:rsidR="00843208" w:rsidRDefault="00843208" w:rsidP="002B23B6">
      <w:pPr>
        <w:spacing w:after="0" w:line="240" w:lineRule="auto"/>
        <w:jc w:val="center"/>
        <w:rPr>
          <w:rFonts w:ascii="Verdana" w:hAnsi="Verdana" w:cs="Calibri"/>
          <w:b/>
          <w:bCs/>
          <w:color w:val="000000" w:themeColor="text1"/>
        </w:rPr>
      </w:pPr>
    </w:p>
    <w:p w14:paraId="16A837F0" w14:textId="77777777" w:rsidR="00843208" w:rsidRDefault="00843208" w:rsidP="002B23B6">
      <w:pPr>
        <w:spacing w:after="0" w:line="240" w:lineRule="auto"/>
        <w:jc w:val="center"/>
        <w:rPr>
          <w:rFonts w:ascii="Verdana" w:hAnsi="Verdana" w:cs="Calibri"/>
          <w:b/>
          <w:bCs/>
          <w:color w:val="000000" w:themeColor="text1"/>
        </w:rPr>
      </w:pPr>
    </w:p>
    <w:p w14:paraId="4B4ECAA9" w14:textId="081FC415" w:rsidR="00552DE2" w:rsidRPr="003C5B2A" w:rsidRDefault="009A2A38" w:rsidP="002B23B6">
      <w:pPr>
        <w:spacing w:after="0" w:line="240" w:lineRule="auto"/>
        <w:jc w:val="center"/>
        <w:rPr>
          <w:rFonts w:cs="Calibri"/>
          <w:color w:val="000000" w:themeColor="text1"/>
        </w:rPr>
      </w:pPr>
      <w:r w:rsidRPr="003C5B2A">
        <w:rPr>
          <w:rFonts w:cs="Calibri"/>
          <w:b/>
          <w:bCs/>
          <w:color w:val="000000" w:themeColor="text1"/>
        </w:rPr>
        <w:t xml:space="preserve">Letter of </w:t>
      </w:r>
      <w:r w:rsidR="00767909" w:rsidRPr="003C5B2A">
        <w:rPr>
          <w:rFonts w:cs="Calibri"/>
          <w:b/>
          <w:bCs/>
          <w:color w:val="000000" w:themeColor="text1"/>
        </w:rPr>
        <w:t>A</w:t>
      </w:r>
      <w:r w:rsidR="009F397E" w:rsidRPr="003C5B2A">
        <w:rPr>
          <w:rFonts w:cs="Calibri"/>
          <w:b/>
          <w:bCs/>
          <w:color w:val="000000" w:themeColor="text1"/>
        </w:rPr>
        <w:t xml:space="preserve">ppeal </w:t>
      </w:r>
      <w:r w:rsidR="00767909" w:rsidRPr="003C5B2A">
        <w:rPr>
          <w:rFonts w:cs="Calibri"/>
          <w:b/>
          <w:bCs/>
          <w:color w:val="000000" w:themeColor="text1"/>
        </w:rPr>
        <w:t>T</w:t>
      </w:r>
      <w:r w:rsidR="007B2F55" w:rsidRPr="003C5B2A">
        <w:rPr>
          <w:rFonts w:cs="Calibri"/>
          <w:b/>
          <w:bCs/>
          <w:color w:val="000000" w:themeColor="text1"/>
        </w:rPr>
        <w:t xml:space="preserve">emplate </w:t>
      </w:r>
      <w:r w:rsidRPr="003C5B2A">
        <w:rPr>
          <w:rFonts w:cs="Calibri"/>
          <w:b/>
          <w:bCs/>
          <w:color w:val="000000" w:themeColor="text1"/>
        </w:rPr>
        <w:t>for LIFYORLI (relacorilant) + nab-paclitaxel</w:t>
      </w:r>
    </w:p>
    <w:p w14:paraId="6274ABD4" w14:textId="77777777" w:rsidR="002B23B6" w:rsidRPr="003C5B2A" w:rsidRDefault="002B23B6" w:rsidP="002B23B6">
      <w:pPr>
        <w:spacing w:after="0" w:line="240" w:lineRule="auto"/>
        <w:rPr>
          <w:rFonts w:cs="Calibri"/>
          <w:b/>
          <w:bCs/>
          <w:color w:val="000000" w:themeColor="text1"/>
        </w:rPr>
      </w:pPr>
    </w:p>
    <w:p w14:paraId="23AF72AF" w14:textId="28F49E96" w:rsidR="002B23B6" w:rsidRPr="003C5B2A" w:rsidRDefault="002B23B6" w:rsidP="002B23B6">
      <w:pPr>
        <w:spacing w:after="0" w:line="240" w:lineRule="auto"/>
        <w:rPr>
          <w:rFonts w:cs="Calibri"/>
          <w:b/>
          <w:bCs/>
          <w:color w:val="808080" w:themeColor="background1" w:themeShade="80"/>
          <w:sz w:val="20"/>
          <w:szCs w:val="20"/>
        </w:rPr>
      </w:pPr>
      <w:r w:rsidRPr="003C5B2A">
        <w:rPr>
          <w:rFonts w:cs="Calibri"/>
          <w:b/>
          <w:bCs/>
          <w:color w:val="808080" w:themeColor="background1" w:themeShade="80"/>
          <w:sz w:val="20"/>
          <w:szCs w:val="20"/>
        </w:rPr>
        <w:t>Instructions for use:</w:t>
      </w:r>
    </w:p>
    <w:p w14:paraId="65AC5BAB" w14:textId="5BC469EF" w:rsidR="00BB3DEB" w:rsidRPr="002909F7" w:rsidRDefault="002B23B6" w:rsidP="00B01CC0">
      <w:pPr>
        <w:spacing w:after="0" w:line="240" w:lineRule="auto"/>
        <w:rPr>
          <w:rFonts w:cs="Arial"/>
          <w:i/>
          <w:iCs/>
          <w:color w:val="000000" w:themeColor="text1"/>
          <w:sz w:val="22"/>
          <w:szCs w:val="22"/>
          <w:shd w:val="clear" w:color="auto" w:fill="FFFFFF"/>
        </w:rPr>
      </w:pPr>
      <w:r w:rsidRPr="003C5B2A">
        <w:rPr>
          <w:rFonts w:cs="Calibri"/>
          <w:i/>
          <w:iCs/>
          <w:color w:val="808080" w:themeColor="background1" w:themeShade="80"/>
          <w:sz w:val="20"/>
          <w:szCs w:val="20"/>
        </w:rPr>
        <w:t xml:space="preserve">This is intended as a letter of </w:t>
      </w:r>
      <w:r w:rsidR="00367BF7" w:rsidRPr="003C5B2A">
        <w:rPr>
          <w:rFonts w:cs="Calibri"/>
          <w:i/>
          <w:iCs/>
          <w:color w:val="808080" w:themeColor="background1" w:themeShade="80"/>
          <w:sz w:val="20"/>
          <w:szCs w:val="20"/>
        </w:rPr>
        <w:t>appeal</w:t>
      </w:r>
      <w:r w:rsidRPr="003C5B2A">
        <w:rPr>
          <w:rFonts w:cs="Calibri"/>
          <w:i/>
          <w:iCs/>
          <w:color w:val="808080" w:themeColor="background1" w:themeShade="80"/>
          <w:sz w:val="20"/>
          <w:szCs w:val="20"/>
        </w:rPr>
        <w:t xml:space="preserve"> template</w:t>
      </w:r>
      <w:r w:rsidR="0024704B" w:rsidRPr="002909F7">
        <w:rPr>
          <w:rFonts w:cs="Calibri"/>
          <w:i/>
          <w:iCs/>
          <w:color w:val="808080" w:themeColor="background1" w:themeShade="80"/>
          <w:sz w:val="20"/>
          <w:szCs w:val="20"/>
        </w:rPr>
        <w:t xml:space="preserve"> following </w:t>
      </w:r>
      <w:r w:rsidR="007F22D0" w:rsidRPr="003C5B2A">
        <w:rPr>
          <w:rFonts w:cs="Calibri"/>
          <w:i/>
          <w:iCs/>
          <w:color w:val="808080" w:themeColor="background1" w:themeShade="80"/>
          <w:sz w:val="20"/>
          <w:szCs w:val="20"/>
        </w:rPr>
        <w:t>receipt of a denial of coverage by</w:t>
      </w:r>
      <w:r w:rsidR="008E311B" w:rsidRPr="003C5B2A">
        <w:rPr>
          <w:rFonts w:cs="Calibri"/>
          <w:i/>
          <w:iCs/>
          <w:color w:val="808080" w:themeColor="background1" w:themeShade="80"/>
          <w:sz w:val="20"/>
          <w:szCs w:val="20"/>
        </w:rPr>
        <w:t xml:space="preserve"> the</w:t>
      </w:r>
      <w:r w:rsidR="007F22D0" w:rsidRPr="003C5B2A">
        <w:rPr>
          <w:rFonts w:cs="Calibri"/>
          <w:i/>
          <w:iCs/>
          <w:color w:val="808080" w:themeColor="background1" w:themeShade="80"/>
          <w:sz w:val="20"/>
          <w:szCs w:val="20"/>
        </w:rPr>
        <w:t xml:space="preserve"> patient’s healthcare insurance provider</w:t>
      </w:r>
      <w:r w:rsidRPr="003C5B2A">
        <w:rPr>
          <w:rFonts w:cs="Calibri"/>
          <w:i/>
          <w:iCs/>
          <w:color w:val="808080" w:themeColor="background1" w:themeShade="80"/>
          <w:sz w:val="20"/>
          <w:szCs w:val="20"/>
        </w:rPr>
        <w:t xml:space="preserve">. Please customize </w:t>
      </w:r>
      <w:r w:rsidRPr="003C5B2A">
        <w:rPr>
          <w:rStyle w:val="Strong"/>
          <w:rFonts w:cs="Calibri"/>
          <w:i/>
          <w:iCs/>
          <w:color w:val="808080" w:themeColor="background1" w:themeShade="80"/>
          <w:sz w:val="20"/>
          <w:szCs w:val="20"/>
          <w:u w:val="single"/>
        </w:rPr>
        <w:t>all</w:t>
      </w:r>
      <w:r w:rsidRPr="003C5B2A">
        <w:rPr>
          <w:i/>
          <w:iCs/>
          <w:color w:val="808080" w:themeColor="background1" w:themeShade="80"/>
          <w:sz w:val="20"/>
          <w:szCs w:val="20"/>
        </w:rPr>
        <w:t xml:space="preserve"> </w:t>
      </w:r>
      <w:r w:rsidRPr="003C5B2A">
        <w:rPr>
          <w:rFonts w:cs="Calibri"/>
          <w:i/>
          <w:iCs/>
          <w:color w:val="808080" w:themeColor="background1" w:themeShade="80"/>
          <w:sz w:val="20"/>
          <w:szCs w:val="20"/>
        </w:rPr>
        <w:t xml:space="preserve">content based on your medical judgment, </w:t>
      </w:r>
      <w:r w:rsidRPr="003C5B2A">
        <w:rPr>
          <w:rStyle w:val="Strong"/>
          <w:rFonts w:cs="Calibri"/>
          <w:i/>
          <w:iCs/>
          <w:color w:val="808080" w:themeColor="background1" w:themeShade="80"/>
          <w:sz w:val="20"/>
          <w:szCs w:val="20"/>
        </w:rPr>
        <w:t>replacing bracketed sections</w:t>
      </w:r>
      <w:r w:rsidRPr="003C5B2A">
        <w:rPr>
          <w:rFonts w:cs="Calibri"/>
          <w:i/>
          <w:iCs/>
          <w:color w:val="808080" w:themeColor="background1" w:themeShade="80"/>
          <w:sz w:val="20"/>
          <w:szCs w:val="20"/>
        </w:rPr>
        <w:t xml:space="preserve"> with patient-specific details. </w:t>
      </w:r>
      <w:r w:rsidR="00767909" w:rsidRPr="003C5B2A">
        <w:rPr>
          <w:rFonts w:cs="Calibri"/>
          <w:i/>
          <w:iCs/>
          <w:color w:val="808080" w:themeColor="background1" w:themeShade="80"/>
          <w:sz w:val="20"/>
          <w:szCs w:val="20"/>
        </w:rPr>
        <w:t>Using</w:t>
      </w:r>
      <w:r w:rsidRPr="003C5B2A">
        <w:rPr>
          <w:rFonts w:cs="Calibri"/>
          <w:i/>
          <w:iCs/>
          <w:color w:val="808080" w:themeColor="background1" w:themeShade="80"/>
          <w:sz w:val="20"/>
          <w:szCs w:val="20"/>
        </w:rPr>
        <w:t xml:space="preserve"> this template does not guarantee coverage and should not be a substitute for, or influence, the independent medical judgment of the healthcare provider.</w:t>
      </w:r>
      <w:r w:rsidRPr="003C5B2A">
        <w:rPr>
          <w:rFonts w:cs="Calibri"/>
          <w:i/>
          <w:iCs/>
          <w:color w:val="808080" w:themeColor="background1" w:themeShade="80"/>
          <w:kern w:val="0"/>
          <w:sz w:val="20"/>
          <w:szCs w:val="20"/>
        </w:rPr>
        <w:t xml:space="preserve"> </w:t>
      </w:r>
      <w:r w:rsidR="00767909" w:rsidRPr="002909F7">
        <w:rPr>
          <w:rFonts w:cs="Calibri"/>
          <w:i/>
          <w:iCs/>
          <w:color w:val="808080" w:themeColor="background1" w:themeShade="80"/>
          <w:sz w:val="20"/>
          <w:szCs w:val="20"/>
        </w:rPr>
        <w:t>Lastly, ensure the final letter is printed on the physician’s official letterhead.</w:t>
      </w:r>
      <w:r w:rsidR="00767909" w:rsidRPr="002909F7">
        <w:rPr>
          <w:rFonts w:cs="Calibri"/>
          <w:i/>
          <w:iCs/>
          <w:color w:val="808080" w:themeColor="background1" w:themeShade="80"/>
          <w:kern w:val="0"/>
        </w:rPr>
        <w:t xml:space="preserve"> </w:t>
      </w:r>
    </w:p>
    <w:p w14:paraId="18EE659A" w14:textId="77777777" w:rsidR="00BB3DEB" w:rsidRPr="002909F7" w:rsidRDefault="00BB3DEB" w:rsidP="00BB3DEB">
      <w:pPr>
        <w:spacing w:after="0" w:line="240" w:lineRule="auto"/>
        <w:rPr>
          <w:rFonts w:cs="Arial"/>
          <w:i/>
          <w:iCs/>
          <w:color w:val="000000" w:themeColor="text1"/>
          <w:sz w:val="22"/>
          <w:szCs w:val="22"/>
          <w:shd w:val="clear" w:color="auto" w:fill="FFFFFF"/>
        </w:rPr>
      </w:pPr>
    </w:p>
    <w:p w14:paraId="0CBC79C6" w14:textId="77777777" w:rsidR="00BB3DEB" w:rsidRPr="002909F7" w:rsidRDefault="00BB3DEB" w:rsidP="00BB3DEB">
      <w:pPr>
        <w:pStyle w:val="Heading1"/>
        <w:spacing w:before="1" w:line="251" w:lineRule="exact"/>
        <w:ind w:right="-30"/>
        <w:rPr>
          <w:rFonts w:asciiTheme="minorHAnsi" w:hAnsiTheme="minorHAnsi"/>
          <w:b/>
          <w:bCs/>
          <w:caps/>
          <w:color w:val="057374"/>
          <w:sz w:val="22"/>
          <w:szCs w:val="22"/>
        </w:rPr>
      </w:pPr>
      <w:r w:rsidRPr="002909F7">
        <w:rPr>
          <w:rFonts w:asciiTheme="minorHAnsi" w:hAnsiTheme="minorHAnsi"/>
          <w:b/>
          <w:bCs/>
          <w:caps/>
          <w:color w:val="057374"/>
          <w:sz w:val="22"/>
          <w:szCs w:val="22"/>
        </w:rPr>
        <w:t>Indications &amp; Usage</w:t>
      </w:r>
    </w:p>
    <w:p w14:paraId="35985694" w14:textId="77777777" w:rsidR="00BB3DEB" w:rsidRPr="002909F7" w:rsidRDefault="00BB3DEB" w:rsidP="00BB3DEB">
      <w:pPr>
        <w:pStyle w:val="BodyText"/>
        <w:spacing w:before="3"/>
        <w:ind w:right="-30"/>
        <w:rPr>
          <w:rFonts w:asciiTheme="minorHAnsi" w:hAnsiTheme="minorHAnsi"/>
        </w:rPr>
      </w:pPr>
      <w:r w:rsidRPr="002909F7">
        <w:rPr>
          <w:rFonts w:asciiTheme="minorHAnsi" w:hAnsiTheme="minorHAnsi"/>
        </w:rPr>
        <w:t>LIFYORLI is</w:t>
      </w:r>
      <w:r w:rsidRPr="002909F7" w:rsidDel="00241F9A">
        <w:rPr>
          <w:rFonts w:asciiTheme="minorHAnsi" w:hAnsiTheme="minorHAnsi"/>
        </w:rPr>
        <w:t xml:space="preserve"> </w:t>
      </w:r>
      <w:r w:rsidRPr="002909F7">
        <w:rPr>
          <w:rFonts w:asciiTheme="minorHAnsi" w:hAnsiTheme="minorHAnsi"/>
        </w:rPr>
        <w:t>indicated in combination with nab-paclitaxel for the treatment of adults with platinum-resistant epithelial ovarian, fallopian tube, or primary peritoneal cancer who have received 1-3 prior systemic treatment regimens, at least one of which included bevacizumab.</w:t>
      </w:r>
    </w:p>
    <w:p w14:paraId="303E47B4" w14:textId="77777777" w:rsidR="00BB3DEB" w:rsidRPr="002909F7" w:rsidRDefault="00BB3DEB" w:rsidP="00BB3DEB">
      <w:pPr>
        <w:pStyle w:val="BodyText"/>
        <w:rPr>
          <w:rFonts w:asciiTheme="minorHAnsi" w:hAnsiTheme="minorHAnsi"/>
          <w:color w:val="057374"/>
        </w:rPr>
      </w:pPr>
    </w:p>
    <w:p w14:paraId="6051995C" w14:textId="77777777" w:rsidR="00BB3DEB" w:rsidRPr="002909F7" w:rsidRDefault="00BB3DEB" w:rsidP="00BB3DEB">
      <w:pPr>
        <w:pStyle w:val="BodyText"/>
        <w:rPr>
          <w:rFonts w:asciiTheme="minorHAnsi" w:hAnsiTheme="minorHAnsi"/>
          <w:color w:val="057374"/>
        </w:rPr>
      </w:pPr>
      <w:r w:rsidRPr="002909F7">
        <w:rPr>
          <w:rFonts w:asciiTheme="minorHAnsi" w:hAnsiTheme="minorHAnsi"/>
          <w:b/>
          <w:bCs/>
          <w:color w:val="057374"/>
        </w:rPr>
        <w:t>IMPORTANT SAFETY INFORMATION</w:t>
      </w:r>
    </w:p>
    <w:p w14:paraId="35753783" w14:textId="77777777" w:rsidR="00BB3DEB" w:rsidRPr="002909F7" w:rsidRDefault="00BB3DEB" w:rsidP="00BB3DEB">
      <w:pPr>
        <w:pStyle w:val="BodyText"/>
        <w:rPr>
          <w:rFonts w:asciiTheme="minorHAnsi" w:hAnsiTheme="minorHAnsi"/>
          <w:b/>
          <w:bCs/>
          <w:color w:val="057374"/>
        </w:rPr>
      </w:pPr>
      <w:r w:rsidRPr="002909F7">
        <w:rPr>
          <w:rFonts w:asciiTheme="minorHAnsi" w:hAnsiTheme="minorHAnsi"/>
          <w:b/>
          <w:bCs/>
          <w:color w:val="057374"/>
        </w:rPr>
        <w:t>Contraindications:</w:t>
      </w:r>
    </w:p>
    <w:p w14:paraId="6CDF754D" w14:textId="77777777" w:rsidR="00BB3DEB" w:rsidRPr="002909F7" w:rsidRDefault="00BB3DEB" w:rsidP="00BB3DEB">
      <w:pPr>
        <w:pStyle w:val="BodyText"/>
        <w:rPr>
          <w:rFonts w:asciiTheme="minorHAnsi" w:hAnsiTheme="minorHAnsi"/>
          <w:color w:val="000000" w:themeColor="text1"/>
        </w:rPr>
      </w:pPr>
      <w:r w:rsidRPr="002909F7">
        <w:rPr>
          <w:rFonts w:asciiTheme="minorHAnsi" w:hAnsiTheme="minorHAnsi"/>
          <w:color w:val="000000" w:themeColor="text1"/>
        </w:rPr>
        <w:t>LIFYORLI is contraindicated in patients receiving systemic glucocorticoids for lifesaving purposes (e.g., immunosuppression after organ transplantation) because LIFYORLI antagonizes the effect of glucocorticoids.</w:t>
      </w:r>
    </w:p>
    <w:p w14:paraId="53A40D92" w14:textId="77777777" w:rsidR="00BB3DEB" w:rsidRPr="002909F7" w:rsidRDefault="00BB3DEB" w:rsidP="00BB3DEB">
      <w:pPr>
        <w:pStyle w:val="BodyText"/>
        <w:rPr>
          <w:rFonts w:asciiTheme="minorHAnsi" w:hAnsiTheme="minorHAnsi"/>
          <w:color w:val="000000" w:themeColor="text1"/>
        </w:rPr>
      </w:pPr>
    </w:p>
    <w:p w14:paraId="57A98AF4" w14:textId="77777777" w:rsidR="00BB3DEB" w:rsidRPr="002909F7" w:rsidRDefault="00BB3DEB" w:rsidP="00BB3DEB">
      <w:pPr>
        <w:pStyle w:val="BodyText"/>
        <w:rPr>
          <w:rFonts w:asciiTheme="minorHAnsi" w:hAnsiTheme="minorHAnsi"/>
          <w:b/>
          <w:bCs/>
          <w:color w:val="057374"/>
        </w:rPr>
      </w:pPr>
      <w:r w:rsidRPr="002909F7">
        <w:rPr>
          <w:rFonts w:asciiTheme="minorHAnsi" w:hAnsiTheme="minorHAnsi"/>
          <w:b/>
          <w:bCs/>
          <w:color w:val="057374"/>
        </w:rPr>
        <w:t>Warnings and Precautions:</w:t>
      </w:r>
    </w:p>
    <w:p w14:paraId="1E44A895" w14:textId="77777777" w:rsidR="00BB3DEB" w:rsidRPr="002909F7" w:rsidRDefault="00BB3DEB" w:rsidP="00BB3DEB">
      <w:pPr>
        <w:pStyle w:val="BodyText"/>
        <w:rPr>
          <w:rFonts w:asciiTheme="minorHAnsi" w:hAnsiTheme="minorHAnsi"/>
          <w:b/>
          <w:bCs/>
          <w:color w:val="000000" w:themeColor="text1"/>
        </w:rPr>
      </w:pPr>
      <w:r w:rsidRPr="002909F7">
        <w:rPr>
          <w:rFonts w:asciiTheme="minorHAnsi" w:hAnsiTheme="minorHAnsi"/>
          <w:b/>
          <w:bCs/>
          <w:color w:val="000000" w:themeColor="text1"/>
        </w:rPr>
        <w:t>Neutropenia and Severe Infections</w:t>
      </w:r>
    </w:p>
    <w:p w14:paraId="4B040BDC" w14:textId="36289DC1" w:rsidR="00BB3DEB" w:rsidRPr="003C5B2A" w:rsidRDefault="00BB3DEB" w:rsidP="00BB3DEB">
      <w:pPr>
        <w:pStyle w:val="BodyText"/>
        <w:rPr>
          <w:rFonts w:asciiTheme="minorHAnsi" w:hAnsiTheme="minorHAnsi"/>
          <w:color w:val="000000" w:themeColor="text1"/>
        </w:rPr>
      </w:pPr>
      <w:r w:rsidRPr="003C5B2A">
        <w:rPr>
          <w:rFonts w:asciiTheme="minorHAnsi" w:hAnsiTheme="minorHAnsi"/>
          <w:color w:val="000000" w:themeColor="text1"/>
        </w:rPr>
        <w:t>LIFYORLI</w:t>
      </w:r>
      <w:r w:rsidRPr="003C5B2A" w:rsidDel="00F82140">
        <w:rPr>
          <w:rFonts w:asciiTheme="minorHAnsi" w:hAnsiTheme="minorHAnsi"/>
          <w:color w:val="000000" w:themeColor="text1"/>
        </w:rPr>
        <w:t xml:space="preserve"> </w:t>
      </w:r>
      <w:r w:rsidRPr="003C5B2A">
        <w:rPr>
          <w:rFonts w:asciiTheme="minorHAnsi" w:hAnsiTheme="minorHAnsi"/>
          <w:color w:val="000000" w:themeColor="text1"/>
        </w:rPr>
        <w:t>in combination with nab-paclitaxel can cause neutropenia, including febrile neutropenia and severe infections. There was one fatal</w:t>
      </w:r>
      <w:r w:rsidRPr="003C5B2A" w:rsidDel="00254184">
        <w:rPr>
          <w:rFonts w:asciiTheme="minorHAnsi" w:hAnsiTheme="minorHAnsi"/>
          <w:color w:val="000000" w:themeColor="text1"/>
        </w:rPr>
        <w:t xml:space="preserve"> </w:t>
      </w:r>
      <w:r w:rsidRPr="003C5B2A">
        <w:rPr>
          <w:rFonts w:asciiTheme="minorHAnsi" w:hAnsiTheme="minorHAnsi"/>
          <w:color w:val="000000" w:themeColor="text1"/>
        </w:rPr>
        <w:t>event of septic shock with febrile neutropenia. Thirty-eight percent of patients initiated granulocyte colony-stimulating factor</w:t>
      </w:r>
      <w:r w:rsidRPr="003C5B2A">
        <w:rPr>
          <w:rFonts w:asciiTheme="minorHAnsi" w:hAnsiTheme="minorHAnsi"/>
          <w:b/>
          <w:bCs/>
          <w:color w:val="000000" w:themeColor="text1"/>
        </w:rPr>
        <w:t xml:space="preserve"> </w:t>
      </w:r>
      <w:r w:rsidRPr="003C5B2A">
        <w:rPr>
          <w:rFonts w:asciiTheme="minorHAnsi" w:hAnsiTheme="minorHAnsi"/>
          <w:color w:val="000000" w:themeColor="text1"/>
        </w:rPr>
        <w:t>(G-CSF) during the first or second cycle of therapy. Monitor complete blood counts prior to each weekly treatment with LIFYORLI in combination with nab-paclitaxel and as clinically indicated. Based on the severity of neutropenia, delay</w:t>
      </w:r>
      <w:r w:rsidR="00B7446E">
        <w:rPr>
          <w:rFonts w:asciiTheme="minorHAnsi" w:hAnsiTheme="minorHAnsi"/>
          <w:color w:val="000000" w:themeColor="text1"/>
        </w:rPr>
        <w:t xml:space="preserve"> dose</w:t>
      </w:r>
      <w:r w:rsidRPr="003C5B2A">
        <w:rPr>
          <w:rFonts w:asciiTheme="minorHAnsi" w:hAnsiTheme="minorHAnsi"/>
          <w:color w:val="000000" w:themeColor="text1"/>
        </w:rPr>
        <w:t>, reduce</w:t>
      </w:r>
      <w:r w:rsidR="00B7446E">
        <w:rPr>
          <w:rFonts w:asciiTheme="minorHAnsi" w:hAnsiTheme="minorHAnsi"/>
          <w:color w:val="000000" w:themeColor="text1"/>
        </w:rPr>
        <w:t xml:space="preserve"> dose</w:t>
      </w:r>
      <w:r w:rsidRPr="003C5B2A">
        <w:rPr>
          <w:rFonts w:asciiTheme="minorHAnsi" w:hAnsiTheme="minorHAnsi"/>
          <w:color w:val="000000" w:themeColor="text1"/>
        </w:rPr>
        <w:t>, or permanently discontinue LIFYORLI in combination with nab-paclitaxel. Consider short-acting G-CSF administration as applicable. Consider the possibility of concurrent adrenal insufficiency, particularly in the setting of serious infection.</w:t>
      </w:r>
    </w:p>
    <w:p w14:paraId="7547C572" w14:textId="77777777" w:rsidR="00BB3DEB" w:rsidRPr="002909F7" w:rsidRDefault="00BB3DEB" w:rsidP="00BB3DEB">
      <w:pPr>
        <w:pStyle w:val="BodyText"/>
        <w:rPr>
          <w:rFonts w:asciiTheme="minorHAnsi" w:hAnsiTheme="minorHAnsi"/>
        </w:rPr>
      </w:pPr>
    </w:p>
    <w:p w14:paraId="5D6E8E0A" w14:textId="1920E578" w:rsidR="00BB3DEB" w:rsidRPr="002909F7" w:rsidRDefault="00BB3DEB" w:rsidP="00BB3DEB">
      <w:pPr>
        <w:pStyle w:val="BodyText"/>
        <w:rPr>
          <w:rFonts w:asciiTheme="minorHAnsi" w:hAnsiTheme="minorHAnsi"/>
          <w:b/>
          <w:bCs/>
          <w:color w:val="000000" w:themeColor="text1"/>
        </w:rPr>
      </w:pPr>
      <w:r w:rsidRPr="002909F7">
        <w:rPr>
          <w:rFonts w:asciiTheme="minorHAnsi" w:hAnsiTheme="minorHAnsi"/>
          <w:b/>
          <w:bCs/>
          <w:color w:val="000000" w:themeColor="text1"/>
        </w:rPr>
        <w:t xml:space="preserve">Adrenal Insufficiency </w:t>
      </w:r>
    </w:p>
    <w:p w14:paraId="754BF790" w14:textId="77777777" w:rsidR="00BB3DEB" w:rsidRPr="003C5B2A" w:rsidRDefault="00BB3DEB" w:rsidP="00BB3DEB">
      <w:pPr>
        <w:pStyle w:val="BodyText"/>
        <w:rPr>
          <w:rFonts w:asciiTheme="minorHAnsi" w:hAnsiTheme="minorHAnsi"/>
        </w:rPr>
      </w:pPr>
      <w:r w:rsidRPr="003C5B2A">
        <w:rPr>
          <w:rFonts w:asciiTheme="minorHAnsi" w:hAnsiTheme="minorHAnsi"/>
        </w:rPr>
        <w:t xml:space="preserve">LIFYORLI is a reversible glucocorticoid receptor antagonist and can cause adrenal insufficiency. Adrenal insufficiency can occur at any time during treatment with LIFYORLI. The risk of adrenal insufficiency is increased in situations of stress, such as acute illness, infection, or surgery. Consider whether supplemental glucocorticoids are required in the perioperative period in patients who have received LIFYORLI within 30 days of surgery. Monitor patients receiving LIFYORLI for signs and symptoms of adrenal insufficiency. Withhold LIFYORLI and administer glucocorticoid therapy if adrenal insufficiency is suspected. High doses of supplemental glucocorticoids may be needed to overcome the glucocorticoid receptor antagonism </w:t>
      </w:r>
      <w:r w:rsidRPr="003C5B2A" w:rsidDel="006A2596">
        <w:rPr>
          <w:rFonts w:asciiTheme="minorHAnsi" w:hAnsiTheme="minorHAnsi"/>
        </w:rPr>
        <w:t>produced by LIFYORLI</w:t>
      </w:r>
      <w:r w:rsidRPr="003C5B2A">
        <w:rPr>
          <w:rFonts w:asciiTheme="minorHAnsi" w:hAnsiTheme="minorHAnsi"/>
        </w:rPr>
        <w:t>. After resolution of adrenal insufficiency, resume previous dose, reduce dose, or permanently discontinue LIFYORLI based on severity.</w:t>
      </w:r>
    </w:p>
    <w:p w14:paraId="7E6538A8" w14:textId="77777777" w:rsidR="00BB3DEB" w:rsidRDefault="00BB3DEB" w:rsidP="00BB3DEB">
      <w:pPr>
        <w:pStyle w:val="BodyText"/>
        <w:rPr>
          <w:rFonts w:asciiTheme="minorHAnsi" w:hAnsiTheme="minorHAnsi"/>
          <w:color w:val="000000" w:themeColor="text1"/>
        </w:rPr>
      </w:pPr>
    </w:p>
    <w:p w14:paraId="04982A72" w14:textId="77777777" w:rsidR="002909F7" w:rsidRDefault="002909F7" w:rsidP="00BB3DEB">
      <w:pPr>
        <w:pStyle w:val="BodyText"/>
        <w:rPr>
          <w:rFonts w:asciiTheme="minorHAnsi" w:hAnsiTheme="minorHAnsi"/>
          <w:color w:val="000000" w:themeColor="text1"/>
        </w:rPr>
      </w:pPr>
    </w:p>
    <w:p w14:paraId="57D2FB1E" w14:textId="77777777" w:rsidR="002909F7" w:rsidRPr="002909F7" w:rsidRDefault="002909F7" w:rsidP="00BB3DEB">
      <w:pPr>
        <w:pStyle w:val="BodyText"/>
        <w:rPr>
          <w:rFonts w:asciiTheme="minorHAnsi" w:hAnsiTheme="minorHAnsi"/>
          <w:color w:val="000000" w:themeColor="text1"/>
        </w:rPr>
      </w:pPr>
    </w:p>
    <w:p w14:paraId="0C3B9413" w14:textId="3A42B93A" w:rsidR="00BB3DEB" w:rsidRPr="00CA14F7" w:rsidRDefault="00BB3DEB" w:rsidP="00BB3DEB">
      <w:pPr>
        <w:pStyle w:val="BodyText"/>
        <w:rPr>
          <w:rFonts w:asciiTheme="minorHAnsi" w:hAnsiTheme="minorHAnsi"/>
          <w:b/>
          <w:bCs/>
        </w:rPr>
      </w:pPr>
      <w:r w:rsidRPr="00CA14F7">
        <w:rPr>
          <w:rFonts w:asciiTheme="minorHAnsi" w:hAnsiTheme="minorHAnsi"/>
          <w:b/>
          <w:bCs/>
        </w:rPr>
        <w:t xml:space="preserve">Please see additional Important Safety Information on pages 2-3 and the </w:t>
      </w:r>
      <w:r w:rsidR="009404B0" w:rsidRPr="00CA14F7">
        <w:rPr>
          <w:rFonts w:asciiTheme="minorHAnsi" w:hAnsiTheme="minorHAnsi"/>
          <w:b/>
          <w:bCs/>
        </w:rPr>
        <w:t xml:space="preserve">accompanying </w:t>
      </w:r>
      <w:r w:rsidRPr="00CA14F7">
        <w:rPr>
          <w:rFonts w:asciiTheme="minorHAnsi" w:hAnsiTheme="minorHAnsi"/>
          <w:b/>
          <w:bCs/>
        </w:rPr>
        <w:t xml:space="preserve">full </w:t>
      </w:r>
      <w:hyperlink r:id="rId9" w:history="1">
        <w:r w:rsidRPr="00CA14F7">
          <w:rPr>
            <w:rStyle w:val="Hyperlink"/>
            <w:rFonts w:asciiTheme="minorHAnsi" w:hAnsiTheme="minorHAnsi"/>
            <w:b/>
            <w:bCs/>
          </w:rPr>
          <w:t>Prescribing Information</w:t>
        </w:r>
      </w:hyperlink>
      <w:r w:rsidRPr="00CA14F7">
        <w:rPr>
          <w:rFonts w:asciiTheme="minorHAnsi" w:hAnsiTheme="minorHAnsi"/>
          <w:b/>
          <w:bCs/>
        </w:rPr>
        <w:t>.</w:t>
      </w:r>
    </w:p>
    <w:p w14:paraId="64AC46EF" w14:textId="77777777" w:rsidR="00BB3DEB" w:rsidRPr="002909F7" w:rsidRDefault="00BB3DEB" w:rsidP="00BB3DEB">
      <w:pPr>
        <w:pStyle w:val="Heading1"/>
        <w:spacing w:before="0" w:after="0" w:line="240" w:lineRule="auto"/>
        <w:ind w:right="-29"/>
        <w:rPr>
          <w:rFonts w:asciiTheme="minorHAnsi" w:hAnsiTheme="minorHAnsi"/>
          <w:b/>
          <w:bCs/>
          <w:color w:val="057374"/>
          <w:sz w:val="22"/>
          <w:szCs w:val="22"/>
        </w:rPr>
      </w:pPr>
      <w:r w:rsidRPr="002909F7">
        <w:rPr>
          <w:rFonts w:asciiTheme="minorHAnsi" w:hAnsiTheme="minorHAnsi" w:cs="Calibri"/>
          <w:noProof/>
          <w:color w:val="000000" w:themeColor="text1"/>
          <w:sz w:val="22"/>
          <w:szCs w:val="22"/>
        </w:rPr>
        <w:lastRenderedPageBreak/>
        <w:drawing>
          <wp:anchor distT="0" distB="0" distL="114300" distR="114300" simplePos="0" relativeHeight="251671552" behindDoc="1" locked="0" layoutInCell="1" allowOverlap="1" wp14:anchorId="4D5324EE" wp14:editId="09BC9335">
            <wp:simplePos x="0" y="0"/>
            <wp:positionH relativeFrom="column">
              <wp:posOffset>4241800</wp:posOffset>
            </wp:positionH>
            <wp:positionV relativeFrom="paragraph">
              <wp:posOffset>0</wp:posOffset>
            </wp:positionV>
            <wp:extent cx="1704975" cy="549910"/>
            <wp:effectExtent l="0" t="0" r="0" b="0"/>
            <wp:wrapTight wrapText="bothSides">
              <wp:wrapPolygon edited="0">
                <wp:start x="0" y="0"/>
                <wp:lineTo x="0" y="20952"/>
                <wp:lineTo x="21399" y="20952"/>
                <wp:lineTo x="21399" y="0"/>
                <wp:lineTo x="0" y="0"/>
              </wp:wrapPolygon>
            </wp:wrapTight>
            <wp:docPr id="703083644"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983232" name="Picture 1" descr="A black text on a white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04975" cy="549910"/>
                    </a:xfrm>
                    <a:prstGeom prst="rect">
                      <a:avLst/>
                    </a:prstGeom>
                  </pic:spPr>
                </pic:pic>
              </a:graphicData>
            </a:graphic>
            <wp14:sizeRelH relativeFrom="page">
              <wp14:pctWidth>0</wp14:pctWidth>
            </wp14:sizeRelH>
            <wp14:sizeRelV relativeFrom="page">
              <wp14:pctHeight>0</wp14:pctHeight>
            </wp14:sizeRelV>
          </wp:anchor>
        </w:drawing>
      </w:r>
    </w:p>
    <w:p w14:paraId="402A3B35" w14:textId="77777777" w:rsidR="00BB3DEB" w:rsidRPr="002909F7" w:rsidRDefault="00BB3DEB" w:rsidP="00BB3DEB">
      <w:pPr>
        <w:pStyle w:val="Heading1"/>
        <w:spacing w:before="0" w:after="0" w:line="240" w:lineRule="auto"/>
        <w:ind w:right="-29"/>
        <w:rPr>
          <w:rFonts w:asciiTheme="minorHAnsi" w:hAnsiTheme="minorHAnsi"/>
          <w:b/>
          <w:bCs/>
          <w:color w:val="057374"/>
          <w:sz w:val="22"/>
          <w:szCs w:val="22"/>
        </w:rPr>
      </w:pPr>
    </w:p>
    <w:p w14:paraId="2F2E27D0" w14:textId="77777777" w:rsidR="00BB3DEB" w:rsidRPr="002909F7" w:rsidRDefault="00BB3DEB" w:rsidP="00BB3DEB">
      <w:pPr>
        <w:pStyle w:val="Heading1"/>
        <w:spacing w:before="0" w:after="0" w:line="240" w:lineRule="auto"/>
        <w:ind w:right="-29"/>
        <w:rPr>
          <w:rFonts w:asciiTheme="minorHAnsi" w:hAnsiTheme="minorHAnsi"/>
          <w:b/>
          <w:bCs/>
          <w:color w:val="057374"/>
          <w:sz w:val="22"/>
          <w:szCs w:val="22"/>
        </w:rPr>
      </w:pPr>
    </w:p>
    <w:p w14:paraId="18BA1BF3" w14:textId="77777777" w:rsidR="00BB3DEB" w:rsidRPr="002909F7" w:rsidRDefault="00BB3DEB" w:rsidP="00BB3DEB">
      <w:pPr>
        <w:pStyle w:val="Heading1"/>
        <w:spacing w:before="0" w:after="0" w:line="240" w:lineRule="auto"/>
        <w:ind w:right="-29"/>
        <w:rPr>
          <w:rFonts w:asciiTheme="minorHAnsi" w:hAnsiTheme="minorHAnsi"/>
          <w:b/>
          <w:bCs/>
          <w:color w:val="057374"/>
          <w:sz w:val="22"/>
          <w:szCs w:val="22"/>
        </w:rPr>
      </w:pPr>
    </w:p>
    <w:p w14:paraId="36CEF466" w14:textId="77777777" w:rsidR="00BB3DEB" w:rsidRPr="002909F7" w:rsidRDefault="00BB3DEB" w:rsidP="00BB3DEB">
      <w:pPr>
        <w:pStyle w:val="Heading1"/>
        <w:spacing w:before="0" w:after="0" w:line="240" w:lineRule="auto"/>
        <w:ind w:right="-29"/>
        <w:rPr>
          <w:rFonts w:asciiTheme="minorHAnsi" w:hAnsiTheme="minorHAnsi"/>
          <w:b/>
          <w:bCs/>
          <w:color w:val="057374"/>
          <w:sz w:val="22"/>
          <w:szCs w:val="22"/>
        </w:rPr>
      </w:pPr>
    </w:p>
    <w:p w14:paraId="3C82AC98" w14:textId="77777777" w:rsidR="00BB3DEB" w:rsidRPr="002909F7" w:rsidRDefault="00BB3DEB" w:rsidP="00BB3DEB">
      <w:pPr>
        <w:pStyle w:val="Heading1"/>
        <w:spacing w:before="0" w:after="0" w:line="240" w:lineRule="auto"/>
        <w:ind w:right="-29"/>
        <w:rPr>
          <w:rFonts w:asciiTheme="minorHAnsi" w:hAnsiTheme="minorHAnsi"/>
          <w:b/>
          <w:bCs/>
          <w:color w:val="057374"/>
          <w:sz w:val="22"/>
          <w:szCs w:val="22"/>
        </w:rPr>
      </w:pPr>
      <w:r w:rsidRPr="002909F7">
        <w:rPr>
          <w:rFonts w:asciiTheme="minorHAnsi" w:hAnsiTheme="minorHAnsi"/>
          <w:b/>
          <w:bCs/>
          <w:color w:val="057374"/>
          <w:sz w:val="22"/>
          <w:szCs w:val="22"/>
        </w:rPr>
        <w:t>IMPORTANT SAFETY INFORMATION (cont’d)</w:t>
      </w:r>
    </w:p>
    <w:p w14:paraId="10A9980E" w14:textId="77777777" w:rsidR="00BB3DEB" w:rsidRPr="002909F7" w:rsidRDefault="00BB3DEB" w:rsidP="00BB3DEB">
      <w:pPr>
        <w:pStyle w:val="BodyText"/>
        <w:rPr>
          <w:rFonts w:asciiTheme="minorHAnsi" w:hAnsiTheme="minorHAnsi"/>
          <w:b/>
          <w:bCs/>
          <w:color w:val="057374"/>
        </w:rPr>
      </w:pPr>
      <w:r w:rsidRPr="002909F7">
        <w:rPr>
          <w:rFonts w:asciiTheme="minorHAnsi" w:hAnsiTheme="minorHAnsi"/>
          <w:b/>
          <w:bCs/>
          <w:color w:val="057374"/>
        </w:rPr>
        <w:t>Warnings and Precautions: (cont’d)</w:t>
      </w:r>
    </w:p>
    <w:p w14:paraId="553B0EE7" w14:textId="77777777" w:rsidR="00BB3DEB" w:rsidRPr="002909F7" w:rsidRDefault="00BB3DEB" w:rsidP="00BB3DEB">
      <w:pPr>
        <w:pStyle w:val="Heading1"/>
        <w:spacing w:before="0" w:after="0" w:line="240" w:lineRule="auto"/>
        <w:ind w:right="-29"/>
        <w:rPr>
          <w:rFonts w:asciiTheme="minorHAnsi" w:hAnsiTheme="minorHAnsi"/>
          <w:sz w:val="22"/>
          <w:szCs w:val="22"/>
        </w:rPr>
      </w:pPr>
    </w:p>
    <w:p w14:paraId="55B78823" w14:textId="77777777" w:rsidR="00BB3DEB" w:rsidRPr="002909F7" w:rsidRDefault="00BB3DEB" w:rsidP="00BB3DEB">
      <w:pPr>
        <w:spacing w:after="0" w:line="240" w:lineRule="auto"/>
      </w:pPr>
      <w:r w:rsidRPr="002909F7">
        <w:rPr>
          <w:b/>
          <w:bCs/>
          <w:color w:val="000000" w:themeColor="text1"/>
          <w:sz w:val="22"/>
          <w:szCs w:val="22"/>
        </w:rPr>
        <w:t xml:space="preserve">Exacerbation of Conditions Treated with Glucocorticoids </w:t>
      </w:r>
    </w:p>
    <w:p w14:paraId="7CEE86D8" w14:textId="77777777" w:rsidR="00BB3DEB" w:rsidRPr="003C5B2A" w:rsidRDefault="00BB3DEB" w:rsidP="00BB3DEB">
      <w:pPr>
        <w:pStyle w:val="Heading1"/>
        <w:spacing w:before="0" w:after="0" w:line="240" w:lineRule="auto"/>
        <w:ind w:right="-29"/>
        <w:rPr>
          <w:rFonts w:asciiTheme="minorHAnsi" w:hAnsiTheme="minorHAnsi"/>
          <w:color w:val="000000" w:themeColor="text1"/>
          <w:sz w:val="22"/>
          <w:szCs w:val="22"/>
        </w:rPr>
      </w:pPr>
      <w:r w:rsidRPr="003C5B2A">
        <w:rPr>
          <w:rFonts w:asciiTheme="minorHAnsi" w:hAnsiTheme="minorHAnsi"/>
          <w:color w:val="000000" w:themeColor="text1"/>
          <w:sz w:val="22"/>
          <w:szCs w:val="22"/>
        </w:rPr>
        <w:t>Use of LIFYORLI</w:t>
      </w:r>
      <w:r w:rsidRPr="003C5B2A" w:rsidDel="00F82140">
        <w:rPr>
          <w:rFonts w:asciiTheme="minorHAnsi" w:hAnsiTheme="minorHAnsi"/>
          <w:color w:val="000000" w:themeColor="text1"/>
          <w:sz w:val="22"/>
          <w:szCs w:val="22"/>
        </w:rPr>
        <w:t xml:space="preserve"> </w:t>
      </w:r>
      <w:r w:rsidRPr="003C5B2A">
        <w:rPr>
          <w:rFonts w:asciiTheme="minorHAnsi" w:hAnsiTheme="minorHAnsi"/>
          <w:color w:val="000000" w:themeColor="text1"/>
          <w:sz w:val="22"/>
          <w:szCs w:val="22"/>
        </w:rPr>
        <w:t>in patients taking systemic glucocorticoids for other conditions (</w:t>
      </w:r>
      <w:r w:rsidRPr="003C5B2A">
        <w:rPr>
          <w:rFonts w:asciiTheme="minorHAnsi" w:hAnsiTheme="minorHAnsi"/>
          <w:iCs/>
          <w:color w:val="000000" w:themeColor="text1"/>
          <w:sz w:val="22"/>
          <w:szCs w:val="22"/>
        </w:rPr>
        <w:t>e.g.,</w:t>
      </w:r>
      <w:r w:rsidRPr="003C5B2A">
        <w:rPr>
          <w:rFonts w:asciiTheme="minorHAnsi" w:hAnsiTheme="minorHAnsi"/>
          <w:color w:val="000000" w:themeColor="text1"/>
          <w:sz w:val="22"/>
          <w:szCs w:val="22"/>
        </w:rPr>
        <w:t xml:space="preserve"> autoimmune disorders) may exacerbate these conditions. LIFYORLI</w:t>
      </w:r>
      <w:r w:rsidRPr="003C5B2A" w:rsidDel="00F82140">
        <w:rPr>
          <w:rFonts w:asciiTheme="minorHAnsi" w:hAnsiTheme="minorHAnsi"/>
          <w:color w:val="000000" w:themeColor="text1"/>
          <w:sz w:val="22"/>
          <w:szCs w:val="22"/>
        </w:rPr>
        <w:t xml:space="preserve"> </w:t>
      </w:r>
      <w:r w:rsidRPr="003C5B2A">
        <w:rPr>
          <w:rFonts w:asciiTheme="minorHAnsi" w:hAnsiTheme="minorHAnsi"/>
          <w:color w:val="000000" w:themeColor="text1"/>
          <w:sz w:val="22"/>
          <w:szCs w:val="22"/>
        </w:rPr>
        <w:t>is a glucocorticoid receptor antagonist that may</w:t>
      </w:r>
      <w:r w:rsidRPr="003C5B2A" w:rsidDel="00F82140">
        <w:rPr>
          <w:rFonts w:asciiTheme="minorHAnsi" w:hAnsiTheme="minorHAnsi"/>
          <w:color w:val="000000" w:themeColor="text1"/>
          <w:sz w:val="22"/>
          <w:szCs w:val="22"/>
        </w:rPr>
        <w:t xml:space="preserve"> </w:t>
      </w:r>
      <w:r w:rsidRPr="003C5B2A">
        <w:rPr>
          <w:rFonts w:asciiTheme="minorHAnsi" w:hAnsiTheme="minorHAnsi"/>
          <w:color w:val="000000" w:themeColor="text1"/>
          <w:sz w:val="22"/>
          <w:szCs w:val="22"/>
        </w:rPr>
        <w:t>make systemic glucocorticoids less effective. Similarly, coadministration of systemic glucocorticoids may make LIFYORLI</w:t>
      </w:r>
      <w:r w:rsidRPr="003C5B2A" w:rsidDel="0081010C">
        <w:rPr>
          <w:rFonts w:asciiTheme="minorHAnsi" w:hAnsiTheme="minorHAnsi"/>
          <w:color w:val="000000" w:themeColor="text1"/>
          <w:sz w:val="22"/>
          <w:szCs w:val="22"/>
        </w:rPr>
        <w:t xml:space="preserve"> </w:t>
      </w:r>
      <w:r w:rsidRPr="003C5B2A">
        <w:rPr>
          <w:rFonts w:asciiTheme="minorHAnsi" w:hAnsiTheme="minorHAnsi"/>
          <w:color w:val="000000" w:themeColor="text1"/>
          <w:sz w:val="22"/>
          <w:szCs w:val="22"/>
        </w:rPr>
        <w:t>less effective. Monitor patients for reduced effectiveness of LIFYORLI and glucocorticoids in patients receiving both.</w:t>
      </w:r>
    </w:p>
    <w:p w14:paraId="65B80E64" w14:textId="77777777" w:rsidR="00BB3DEB" w:rsidRPr="002909F7" w:rsidRDefault="00BB3DEB" w:rsidP="00BB3DEB">
      <w:pPr>
        <w:pStyle w:val="Heading1"/>
        <w:spacing w:before="0" w:after="0" w:line="240" w:lineRule="auto"/>
        <w:ind w:right="-29"/>
        <w:rPr>
          <w:rFonts w:asciiTheme="minorHAnsi" w:hAnsiTheme="minorHAnsi"/>
          <w:b/>
          <w:bCs/>
          <w:sz w:val="22"/>
          <w:szCs w:val="22"/>
        </w:rPr>
      </w:pPr>
    </w:p>
    <w:p w14:paraId="610D112E" w14:textId="77777777" w:rsidR="00BB3DEB" w:rsidRPr="002909F7" w:rsidRDefault="00BB3DEB" w:rsidP="00BB3DEB">
      <w:pPr>
        <w:spacing w:after="0" w:line="240" w:lineRule="auto"/>
      </w:pPr>
      <w:r w:rsidRPr="002909F7">
        <w:rPr>
          <w:b/>
          <w:bCs/>
          <w:color w:val="000000" w:themeColor="text1"/>
          <w:sz w:val="22"/>
          <w:szCs w:val="22"/>
        </w:rPr>
        <w:t xml:space="preserve">Embryo-Fetal Toxicity </w:t>
      </w:r>
    </w:p>
    <w:p w14:paraId="4D58FF68" w14:textId="77777777" w:rsidR="00BB3DEB" w:rsidRPr="003C5B2A" w:rsidRDefault="00BB3DEB" w:rsidP="00BB3DEB">
      <w:pPr>
        <w:spacing w:after="0" w:line="240" w:lineRule="auto"/>
        <w:rPr>
          <w:rFonts w:eastAsiaTheme="majorEastAsia" w:cstheme="majorBidi"/>
          <w:color w:val="000000" w:themeColor="text1"/>
          <w:sz w:val="22"/>
          <w:szCs w:val="22"/>
        </w:rPr>
      </w:pPr>
      <w:r w:rsidRPr="003C5B2A">
        <w:rPr>
          <w:rFonts w:eastAsiaTheme="majorEastAsia" w:cstheme="majorBidi"/>
          <w:color w:val="000000" w:themeColor="text1"/>
          <w:sz w:val="22"/>
          <w:szCs w:val="22"/>
        </w:rPr>
        <w:t xml:space="preserve">LIFYORLI can cause fetal harm when administered to a pregnant woman. Advise pregnant women of the potential risk to a fetus. Verify pregnancy status of females of reproductive potential prior to initiating LIFYORLI treatment. Advise females of reproductive potential, including male patients with female partners of reproductive potential, to use effective contraception during treatment with LIFYORLI and for 1 week after the last dose. </w:t>
      </w:r>
    </w:p>
    <w:p w14:paraId="6A4B0F9F" w14:textId="77777777" w:rsidR="00BB3DEB" w:rsidRPr="002909F7" w:rsidRDefault="00BB3DEB" w:rsidP="00BB3DEB">
      <w:pPr>
        <w:pStyle w:val="Heading1"/>
        <w:spacing w:before="0" w:after="0" w:line="240" w:lineRule="auto"/>
        <w:ind w:right="-29"/>
        <w:rPr>
          <w:rFonts w:asciiTheme="minorHAnsi" w:hAnsiTheme="minorHAnsi"/>
          <w:color w:val="365F91"/>
          <w:sz w:val="22"/>
          <w:szCs w:val="22"/>
        </w:rPr>
      </w:pPr>
    </w:p>
    <w:p w14:paraId="5CA3349B" w14:textId="77777777" w:rsidR="00BB3DEB" w:rsidRPr="002909F7" w:rsidRDefault="00BB3DEB" w:rsidP="00BB3DEB">
      <w:pPr>
        <w:pStyle w:val="Heading1"/>
        <w:spacing w:before="0" w:after="0" w:line="240" w:lineRule="auto"/>
        <w:ind w:right="-29"/>
        <w:rPr>
          <w:rFonts w:asciiTheme="minorHAnsi" w:hAnsiTheme="minorHAnsi"/>
          <w:b/>
          <w:bCs/>
          <w:color w:val="057374"/>
          <w:sz w:val="22"/>
          <w:szCs w:val="22"/>
        </w:rPr>
      </w:pPr>
      <w:r w:rsidRPr="002909F7">
        <w:rPr>
          <w:rFonts w:asciiTheme="minorHAnsi" w:hAnsiTheme="minorHAnsi"/>
          <w:b/>
          <w:bCs/>
          <w:color w:val="057374"/>
          <w:sz w:val="22"/>
          <w:szCs w:val="22"/>
        </w:rPr>
        <w:t>Adverse Reactions:</w:t>
      </w:r>
    </w:p>
    <w:p w14:paraId="7C260315" w14:textId="77777777" w:rsidR="00BB3DEB" w:rsidRPr="003C5B2A" w:rsidRDefault="00BB3DEB" w:rsidP="00BB3DEB">
      <w:pPr>
        <w:pStyle w:val="Heading1"/>
        <w:spacing w:before="0" w:after="0" w:line="240" w:lineRule="auto"/>
        <w:ind w:right="-29"/>
        <w:rPr>
          <w:rFonts w:asciiTheme="minorHAnsi" w:hAnsiTheme="minorHAnsi"/>
          <w:color w:val="000000" w:themeColor="text1"/>
          <w:sz w:val="22"/>
          <w:szCs w:val="22"/>
        </w:rPr>
      </w:pPr>
      <w:r w:rsidRPr="003C5B2A">
        <w:rPr>
          <w:rFonts w:asciiTheme="minorHAnsi" w:hAnsiTheme="minorHAnsi"/>
          <w:color w:val="000000" w:themeColor="text1"/>
          <w:sz w:val="22"/>
          <w:szCs w:val="22"/>
        </w:rPr>
        <w:t xml:space="preserve">Serious adverse reactions occurred in 35% of patients who received LIFYORLI in combination with nab-paclitaxel. Serious adverse reactions (≥2%) in patients were neutropenia (4%), pneumonia (3.2%), pleural effusion (3.2%), febrile neutropenia (2.1%), and fatigue (2.1%). Fatal adverse reactions (2.1%) in patients were septic shock (0.5%), cardiac arrest (0.5%), ischemic stroke (0.5%), and intestinal perforation (0.5%). </w:t>
      </w:r>
    </w:p>
    <w:p w14:paraId="59514898" w14:textId="77777777" w:rsidR="00BB3DEB" w:rsidRPr="003C5B2A" w:rsidRDefault="00BB3DEB" w:rsidP="00BB3DEB">
      <w:pPr>
        <w:pStyle w:val="Heading1"/>
        <w:spacing w:before="0" w:after="0" w:line="240" w:lineRule="auto"/>
        <w:ind w:right="-29"/>
        <w:rPr>
          <w:rFonts w:asciiTheme="minorHAnsi" w:hAnsiTheme="minorHAnsi"/>
          <w:color w:val="000000" w:themeColor="text1"/>
          <w:sz w:val="22"/>
          <w:szCs w:val="22"/>
        </w:rPr>
      </w:pPr>
    </w:p>
    <w:p w14:paraId="1E5AD4C0" w14:textId="77777777" w:rsidR="00BB3DEB" w:rsidRPr="003C5B2A" w:rsidRDefault="00BB3DEB" w:rsidP="00BB3DEB">
      <w:pPr>
        <w:pStyle w:val="Heading1"/>
        <w:spacing w:before="0" w:after="0" w:line="240" w:lineRule="auto"/>
        <w:ind w:right="-29"/>
        <w:rPr>
          <w:rFonts w:asciiTheme="minorHAnsi" w:hAnsiTheme="minorHAnsi"/>
          <w:color w:val="000000" w:themeColor="text1"/>
          <w:sz w:val="22"/>
          <w:szCs w:val="22"/>
        </w:rPr>
      </w:pPr>
      <w:r w:rsidRPr="003C5B2A">
        <w:rPr>
          <w:rFonts w:asciiTheme="minorHAnsi" w:hAnsiTheme="minorHAnsi"/>
          <w:color w:val="000000" w:themeColor="text1"/>
          <w:sz w:val="22"/>
          <w:szCs w:val="22"/>
        </w:rPr>
        <w:t xml:space="preserve">Permanent discontinuation of LIFYORLI in combination with nab-paclitaxel due to adverse reactions occurred in 9% of patients. The adverse reaction (&gt;2%) that resulted in permanent discontinuation of LIFYORLI in patients was intestinal obstruction (2.6%). Dosage interruptions of LIFYORLI due to an adverse reaction occurred in 72% of patients. Adverse reactions (≥5%) that required dosage interruptions of LIFYORLI in combination with nab-paclitaxel in patients included neutropenia (44%), anemia (12%), and fatigue (7%). Adverse reactions requiring dose reductions of LIFYORLI included fatigue (1.6%), decreased appetite (1.2%), abdominal pain (0.5%), neutropenia (0.5%), edema (0.5%), </w:t>
      </w:r>
      <w:r w:rsidRPr="003C5B2A" w:rsidDel="00C9724F">
        <w:rPr>
          <w:rFonts w:asciiTheme="minorHAnsi" w:hAnsiTheme="minorHAnsi"/>
          <w:color w:val="000000" w:themeColor="text1"/>
          <w:sz w:val="22"/>
          <w:szCs w:val="22"/>
        </w:rPr>
        <w:t>and sciatica (0.5</w:t>
      </w:r>
      <w:r w:rsidRPr="003C5B2A">
        <w:rPr>
          <w:rFonts w:asciiTheme="minorHAnsi" w:hAnsiTheme="minorHAnsi"/>
          <w:color w:val="000000" w:themeColor="text1"/>
          <w:sz w:val="22"/>
          <w:szCs w:val="22"/>
        </w:rPr>
        <w:t>%). LIFYORLI should be interrupted or discontinued when nab-paclitaxel is interrupted or discontinued.</w:t>
      </w:r>
    </w:p>
    <w:p w14:paraId="1DA081F3" w14:textId="77777777" w:rsidR="00BB3DEB" w:rsidRPr="003C5B2A" w:rsidRDefault="00BB3DEB" w:rsidP="00BB3DEB">
      <w:pPr>
        <w:pStyle w:val="Heading1"/>
        <w:spacing w:before="0" w:after="0" w:line="240" w:lineRule="auto"/>
        <w:ind w:right="-29"/>
        <w:rPr>
          <w:rFonts w:asciiTheme="minorHAnsi" w:hAnsiTheme="minorHAnsi"/>
          <w:color w:val="000000" w:themeColor="text1"/>
          <w:sz w:val="22"/>
          <w:szCs w:val="22"/>
        </w:rPr>
      </w:pPr>
    </w:p>
    <w:p w14:paraId="31A60399" w14:textId="5AD1CAAD" w:rsidR="00BB3DEB" w:rsidRPr="003C5B2A" w:rsidRDefault="00BB3DEB" w:rsidP="00BB3DEB">
      <w:pPr>
        <w:pStyle w:val="Heading1"/>
        <w:spacing w:before="0" w:after="0" w:line="240" w:lineRule="auto"/>
        <w:ind w:right="-29"/>
        <w:rPr>
          <w:rFonts w:asciiTheme="minorHAnsi" w:hAnsiTheme="minorHAnsi"/>
          <w:b/>
          <w:bCs/>
          <w:color w:val="000000" w:themeColor="text1"/>
          <w:sz w:val="22"/>
          <w:szCs w:val="22"/>
        </w:rPr>
      </w:pPr>
      <w:r w:rsidRPr="003C5B2A">
        <w:rPr>
          <w:rFonts w:asciiTheme="minorHAnsi" w:hAnsiTheme="minorHAnsi"/>
          <w:color w:val="000000" w:themeColor="text1"/>
          <w:sz w:val="22"/>
          <w:szCs w:val="22"/>
        </w:rPr>
        <w:t xml:space="preserve">The most common adverse reactions (&gt;20%) of patients treated with LIFYORLI plus nab-paclitaxel, including laboratory abnormalities, were </w:t>
      </w:r>
      <w:r w:rsidR="00B7446E" w:rsidRPr="00B7446E">
        <w:rPr>
          <w:rFonts w:asciiTheme="minorHAnsi" w:hAnsiTheme="minorHAnsi"/>
          <w:color w:val="000000" w:themeColor="text1"/>
          <w:sz w:val="22"/>
          <w:szCs w:val="22"/>
        </w:rPr>
        <w:t>decreased hemoglobin, decreased neutrophils</w:t>
      </w:r>
      <w:r w:rsidRPr="003C5B2A">
        <w:rPr>
          <w:rFonts w:asciiTheme="minorHAnsi" w:hAnsiTheme="minorHAnsi"/>
          <w:color w:val="000000" w:themeColor="text1"/>
          <w:sz w:val="22"/>
          <w:szCs w:val="22"/>
        </w:rPr>
        <w:t xml:space="preserve">, fatigue, nausea, diarrhea, </w:t>
      </w:r>
      <w:r w:rsidR="00B7446E">
        <w:rPr>
          <w:rFonts w:asciiTheme="minorHAnsi" w:hAnsiTheme="minorHAnsi"/>
          <w:color w:val="000000" w:themeColor="text1"/>
          <w:sz w:val="22"/>
          <w:szCs w:val="22"/>
        </w:rPr>
        <w:t>decreased platelets</w:t>
      </w:r>
      <w:r w:rsidRPr="003C5B2A">
        <w:rPr>
          <w:rFonts w:asciiTheme="minorHAnsi" w:hAnsiTheme="minorHAnsi"/>
          <w:color w:val="000000" w:themeColor="text1"/>
          <w:sz w:val="22"/>
          <w:szCs w:val="22"/>
        </w:rPr>
        <w:t>, rash, and decreased appetite.</w:t>
      </w:r>
    </w:p>
    <w:p w14:paraId="48E4C086" w14:textId="77777777" w:rsidR="00BB3DEB" w:rsidRPr="002909F7" w:rsidRDefault="00BB3DEB" w:rsidP="00BB3DEB">
      <w:pPr>
        <w:pStyle w:val="Heading1"/>
        <w:spacing w:before="0" w:after="0" w:line="240" w:lineRule="auto"/>
        <w:ind w:right="-29"/>
        <w:rPr>
          <w:rFonts w:asciiTheme="minorHAnsi" w:hAnsiTheme="minorHAnsi"/>
          <w:sz w:val="22"/>
          <w:szCs w:val="22"/>
        </w:rPr>
      </w:pPr>
    </w:p>
    <w:p w14:paraId="0ABABA83" w14:textId="77777777" w:rsidR="00BB3DEB" w:rsidRPr="002909F7" w:rsidRDefault="00BB3DEB" w:rsidP="00BB3DEB">
      <w:pPr>
        <w:pStyle w:val="BodyText"/>
        <w:ind w:right="-29"/>
        <w:rPr>
          <w:rFonts w:asciiTheme="minorHAnsi" w:hAnsiTheme="minorHAnsi"/>
          <w:b/>
          <w:bCs/>
          <w:color w:val="057374"/>
        </w:rPr>
      </w:pPr>
    </w:p>
    <w:p w14:paraId="3891E14C" w14:textId="77777777" w:rsidR="00BB3DEB" w:rsidRDefault="00BB3DEB" w:rsidP="00BB3DEB">
      <w:pPr>
        <w:pStyle w:val="BodyText"/>
        <w:ind w:right="-29"/>
        <w:rPr>
          <w:rFonts w:asciiTheme="minorHAnsi" w:hAnsiTheme="minorHAnsi"/>
          <w:b/>
          <w:bCs/>
          <w:color w:val="057374"/>
        </w:rPr>
      </w:pPr>
    </w:p>
    <w:p w14:paraId="0B44A572" w14:textId="77777777" w:rsidR="00E4270C" w:rsidRDefault="00E4270C" w:rsidP="00BB3DEB">
      <w:pPr>
        <w:pStyle w:val="BodyText"/>
        <w:ind w:right="-29"/>
        <w:rPr>
          <w:rFonts w:asciiTheme="minorHAnsi" w:hAnsiTheme="minorHAnsi"/>
          <w:b/>
          <w:bCs/>
          <w:color w:val="057374"/>
        </w:rPr>
      </w:pPr>
    </w:p>
    <w:p w14:paraId="18134D36" w14:textId="77777777" w:rsidR="00E4270C" w:rsidRDefault="00E4270C" w:rsidP="00BB3DEB">
      <w:pPr>
        <w:pStyle w:val="BodyText"/>
        <w:ind w:right="-29"/>
        <w:rPr>
          <w:rFonts w:asciiTheme="minorHAnsi" w:hAnsiTheme="minorHAnsi"/>
          <w:b/>
          <w:bCs/>
          <w:color w:val="057374"/>
        </w:rPr>
      </w:pPr>
    </w:p>
    <w:p w14:paraId="4994309C" w14:textId="77777777" w:rsidR="00E4270C" w:rsidRPr="002909F7" w:rsidRDefault="00E4270C" w:rsidP="00BB3DEB">
      <w:pPr>
        <w:pStyle w:val="BodyText"/>
        <w:ind w:right="-29"/>
        <w:rPr>
          <w:rFonts w:asciiTheme="minorHAnsi" w:hAnsiTheme="minorHAnsi"/>
          <w:b/>
          <w:bCs/>
          <w:color w:val="057374"/>
        </w:rPr>
      </w:pPr>
    </w:p>
    <w:p w14:paraId="5794F19A" w14:textId="3D59313B" w:rsidR="00E4270C" w:rsidRPr="003C5B2A" w:rsidRDefault="00BB3DEB" w:rsidP="00BB3DEB">
      <w:pPr>
        <w:rPr>
          <w:sz w:val="22"/>
          <w:szCs w:val="22"/>
        </w:rPr>
      </w:pPr>
      <w:r w:rsidRPr="00CA14F7">
        <w:rPr>
          <w:rFonts w:eastAsia="Times New Roman" w:cs="Times New Roman"/>
          <w:b/>
          <w:bCs/>
          <w:kern w:val="0"/>
          <w:sz w:val="22"/>
          <w:szCs w:val="22"/>
          <w14:ligatures w14:val="none"/>
        </w:rPr>
        <w:t>Please see</w:t>
      </w:r>
      <w:r w:rsidRPr="00CA14F7">
        <w:rPr>
          <w:b/>
          <w:bCs/>
          <w:sz w:val="22"/>
          <w:szCs w:val="22"/>
        </w:rPr>
        <w:t xml:space="preserve"> additional</w:t>
      </w:r>
      <w:r w:rsidRPr="00CA14F7">
        <w:rPr>
          <w:rFonts w:eastAsia="Times New Roman" w:cs="Times New Roman"/>
          <w:b/>
          <w:bCs/>
          <w:kern w:val="0"/>
          <w:sz w:val="22"/>
          <w:szCs w:val="22"/>
          <w14:ligatures w14:val="none"/>
        </w:rPr>
        <w:t xml:space="preserve"> Important Safety Information </w:t>
      </w:r>
      <w:r w:rsidRPr="00CA14F7">
        <w:rPr>
          <w:b/>
          <w:bCs/>
          <w:sz w:val="22"/>
          <w:szCs w:val="22"/>
        </w:rPr>
        <w:t>on page 3 and</w:t>
      </w:r>
      <w:r w:rsidRPr="00CA14F7">
        <w:rPr>
          <w:rFonts w:eastAsia="Times New Roman" w:cs="Times New Roman"/>
          <w:b/>
          <w:bCs/>
          <w:kern w:val="0"/>
          <w:sz w:val="22"/>
          <w:szCs w:val="22"/>
          <w14:ligatures w14:val="none"/>
        </w:rPr>
        <w:t xml:space="preserve"> the</w:t>
      </w:r>
      <w:r w:rsidR="009404B0" w:rsidRPr="00CA14F7">
        <w:rPr>
          <w:rFonts w:eastAsia="Times New Roman" w:cs="Times New Roman"/>
          <w:b/>
          <w:bCs/>
          <w:kern w:val="0"/>
          <w:sz w:val="22"/>
          <w:szCs w:val="22"/>
          <w14:ligatures w14:val="none"/>
        </w:rPr>
        <w:t xml:space="preserve"> </w:t>
      </w:r>
      <w:r w:rsidR="009404B0" w:rsidRPr="003C5B2A">
        <w:rPr>
          <w:b/>
          <w:bCs/>
          <w:sz w:val="22"/>
          <w:szCs w:val="22"/>
        </w:rPr>
        <w:t>accompanying</w:t>
      </w:r>
      <w:r w:rsidRPr="00CA14F7">
        <w:rPr>
          <w:rFonts w:eastAsia="Times New Roman" w:cs="Times New Roman"/>
          <w:b/>
          <w:bCs/>
          <w:kern w:val="0"/>
          <w:sz w:val="22"/>
          <w:szCs w:val="22"/>
          <w14:ligatures w14:val="none"/>
        </w:rPr>
        <w:t xml:space="preserve"> full </w:t>
      </w:r>
      <w:hyperlink r:id="rId10" w:history="1">
        <w:r w:rsidRPr="00CA14F7">
          <w:rPr>
            <w:rStyle w:val="Hyperlink"/>
            <w:rFonts w:eastAsia="Times New Roman" w:cs="Times New Roman"/>
            <w:b/>
            <w:bCs/>
            <w:kern w:val="0"/>
            <w:sz w:val="22"/>
            <w:szCs w:val="22"/>
            <w14:ligatures w14:val="none"/>
          </w:rPr>
          <w:t>Prescribing Information</w:t>
        </w:r>
      </w:hyperlink>
      <w:r w:rsidRPr="00CA14F7">
        <w:rPr>
          <w:b/>
          <w:bCs/>
          <w:sz w:val="22"/>
          <w:szCs w:val="22"/>
        </w:rPr>
        <w:t>.</w:t>
      </w:r>
    </w:p>
    <w:p w14:paraId="3C2EB4F8" w14:textId="77777777" w:rsidR="003C5B2A" w:rsidRPr="003C5B2A" w:rsidRDefault="003C5B2A" w:rsidP="003C5B2A"/>
    <w:p w14:paraId="31FF5DB9" w14:textId="21C26ADE" w:rsidR="00BB3DEB" w:rsidRPr="002909F7" w:rsidRDefault="00BB3DEB" w:rsidP="00BE782C">
      <w:pPr>
        <w:pStyle w:val="Heading1"/>
        <w:spacing w:before="0" w:after="0" w:line="240" w:lineRule="auto"/>
        <w:ind w:right="-29"/>
      </w:pPr>
      <w:r w:rsidRPr="002909F7">
        <w:rPr>
          <w:rFonts w:asciiTheme="minorHAnsi" w:hAnsiTheme="minorHAnsi"/>
          <w:b/>
          <w:bCs/>
          <w:color w:val="057374"/>
          <w:sz w:val="22"/>
          <w:szCs w:val="22"/>
        </w:rPr>
        <w:t>IMPORTANT SAFETY INFORMATION (cont’d)</w:t>
      </w:r>
    </w:p>
    <w:p w14:paraId="2CBB4FAF" w14:textId="77777777" w:rsidR="00BB3DEB" w:rsidRPr="003C5B2A" w:rsidRDefault="00BB3DEB" w:rsidP="00BB3DEB">
      <w:pPr>
        <w:pStyle w:val="BodyText"/>
        <w:ind w:right="-29"/>
        <w:rPr>
          <w:rFonts w:asciiTheme="minorHAnsi" w:hAnsiTheme="minorHAnsi"/>
          <w:b/>
          <w:bCs/>
          <w:color w:val="057374"/>
        </w:rPr>
      </w:pPr>
      <w:r w:rsidRPr="002909F7">
        <w:rPr>
          <w:rFonts w:asciiTheme="minorHAnsi" w:hAnsiTheme="minorHAnsi"/>
          <w:b/>
          <w:bCs/>
          <w:color w:val="057374"/>
        </w:rPr>
        <w:t xml:space="preserve">Drug Interactions: </w:t>
      </w:r>
    </w:p>
    <w:p w14:paraId="28ECBF5F" w14:textId="77777777" w:rsidR="00BB3DEB" w:rsidRPr="003C5B2A" w:rsidRDefault="00BB3DEB" w:rsidP="00BB3DEB">
      <w:pPr>
        <w:pStyle w:val="BodyText"/>
        <w:numPr>
          <w:ilvl w:val="0"/>
          <w:numId w:val="6"/>
        </w:numPr>
        <w:ind w:right="-29"/>
        <w:rPr>
          <w:rFonts w:asciiTheme="minorHAnsi" w:eastAsiaTheme="majorEastAsia" w:hAnsiTheme="minorHAnsi" w:cstheme="majorBidi"/>
          <w:b/>
          <w:bCs/>
          <w:i/>
          <w:iCs/>
          <w:color w:val="000000" w:themeColor="text1"/>
        </w:rPr>
      </w:pPr>
      <w:r w:rsidRPr="003C5B2A">
        <w:rPr>
          <w:rFonts w:asciiTheme="minorHAnsi" w:eastAsiaTheme="majorEastAsia" w:hAnsiTheme="minorHAnsi" w:cstheme="majorBidi"/>
          <w:b/>
          <w:bCs/>
          <w:color w:val="000000" w:themeColor="text1"/>
        </w:rPr>
        <w:t>Strong CYP3A Inducers:</w:t>
      </w:r>
      <w:r w:rsidRPr="003C5B2A">
        <w:rPr>
          <w:rFonts w:asciiTheme="minorHAnsi" w:eastAsiaTheme="majorEastAsia" w:hAnsiTheme="minorHAnsi" w:cstheme="majorBidi"/>
          <w:b/>
          <w:bCs/>
          <w:i/>
          <w:iCs/>
          <w:color w:val="000000" w:themeColor="text1"/>
        </w:rPr>
        <w:t xml:space="preserve"> </w:t>
      </w:r>
      <w:r w:rsidRPr="003C5B2A">
        <w:rPr>
          <w:rFonts w:asciiTheme="minorHAnsi" w:eastAsiaTheme="majorEastAsia" w:hAnsiTheme="minorHAnsi" w:cstheme="majorBidi"/>
          <w:color w:val="000000" w:themeColor="text1"/>
        </w:rPr>
        <w:t>Avoid coadministration of LIFYORLI plus nab-paclitaxel with strong CYP3A inducers. Both relacorilant and paclitaxel are CYP3A substrates. Coadministration of strong CYP3A inducers can decrease concentrations of relacorilant and paclitaxel, which may reduce their effectiveness.</w:t>
      </w:r>
    </w:p>
    <w:p w14:paraId="1D766E57" w14:textId="77777777" w:rsidR="00BB3DEB" w:rsidRPr="003C5B2A" w:rsidRDefault="00BB3DEB" w:rsidP="00BB3DEB">
      <w:pPr>
        <w:pStyle w:val="BodyText"/>
        <w:numPr>
          <w:ilvl w:val="0"/>
          <w:numId w:val="6"/>
        </w:numPr>
        <w:ind w:right="-29"/>
        <w:rPr>
          <w:rFonts w:asciiTheme="minorHAnsi" w:eastAsiaTheme="majorEastAsia" w:hAnsiTheme="minorHAnsi" w:cstheme="majorBidi"/>
          <w:b/>
          <w:bCs/>
          <w:color w:val="000000" w:themeColor="text1"/>
        </w:rPr>
      </w:pPr>
      <w:r w:rsidRPr="003C5B2A">
        <w:rPr>
          <w:rFonts w:asciiTheme="minorHAnsi" w:eastAsiaTheme="majorEastAsia" w:hAnsiTheme="minorHAnsi" w:cstheme="majorBidi"/>
          <w:b/>
          <w:bCs/>
          <w:color w:val="000000" w:themeColor="text1"/>
        </w:rPr>
        <w:t xml:space="preserve">CYP2C8 and Moderate CYP3A Inducers: </w:t>
      </w:r>
      <w:r w:rsidRPr="003C5B2A">
        <w:rPr>
          <w:rFonts w:asciiTheme="minorHAnsi" w:eastAsiaTheme="majorEastAsia" w:hAnsiTheme="minorHAnsi" w:cstheme="majorBidi"/>
          <w:color w:val="000000" w:themeColor="text1"/>
        </w:rPr>
        <w:t>Monitor for reduced effectiveness of LIFYORLI plus nab-paclitaxel with CYP2C8 inducers and moderate CYP3A inducers. Paclitaxel is a substrate of CYP2C8 and CYP3A, and relacorilant is a CYP3A substrate. Coadministration of CYP2C8 and moderate CYP3A inducers can decrease concentrations of paclitaxel and relacorilant, which may reduce their effectiveness.</w:t>
      </w:r>
    </w:p>
    <w:p w14:paraId="6373B660" w14:textId="77777777" w:rsidR="00BB3DEB" w:rsidRPr="003C5B2A" w:rsidRDefault="00BB3DEB" w:rsidP="00BB3DEB">
      <w:pPr>
        <w:pStyle w:val="BodyText"/>
        <w:numPr>
          <w:ilvl w:val="0"/>
          <w:numId w:val="6"/>
        </w:numPr>
        <w:ind w:right="-29"/>
        <w:rPr>
          <w:rFonts w:asciiTheme="minorHAnsi" w:eastAsiaTheme="majorEastAsia" w:hAnsiTheme="minorHAnsi" w:cstheme="majorBidi"/>
          <w:b/>
          <w:bCs/>
          <w:color w:val="000000" w:themeColor="text1"/>
        </w:rPr>
      </w:pPr>
      <w:r w:rsidRPr="003C5B2A">
        <w:rPr>
          <w:rFonts w:asciiTheme="minorHAnsi" w:eastAsiaTheme="majorEastAsia" w:hAnsiTheme="minorHAnsi" w:cstheme="majorBidi"/>
          <w:b/>
          <w:bCs/>
          <w:color w:val="000000" w:themeColor="text1"/>
        </w:rPr>
        <w:t xml:space="preserve">CYP2C8 Inhibitors: </w:t>
      </w:r>
      <w:r w:rsidRPr="003C5B2A">
        <w:rPr>
          <w:rFonts w:asciiTheme="minorHAnsi" w:eastAsiaTheme="majorEastAsia" w:hAnsiTheme="minorHAnsi" w:cstheme="majorBidi"/>
          <w:color w:val="000000" w:themeColor="text1"/>
        </w:rPr>
        <w:t>Monitor for increased adverse reactions and modify the dosage for adverse reactions as recommended. Paclitaxel is a substrate of CYP2C8. Coadministration of CYP2C8 inhibitors may increase concentrations of paclitaxel, which may increase the risk of adverse reactions.</w:t>
      </w:r>
    </w:p>
    <w:p w14:paraId="6928789C" w14:textId="77777777" w:rsidR="00BB3DEB" w:rsidRPr="003C5B2A" w:rsidRDefault="00BB3DEB" w:rsidP="00BB3DEB">
      <w:pPr>
        <w:pStyle w:val="BodyText"/>
        <w:numPr>
          <w:ilvl w:val="0"/>
          <w:numId w:val="6"/>
        </w:numPr>
        <w:ind w:right="-29"/>
        <w:rPr>
          <w:rFonts w:asciiTheme="minorHAnsi" w:eastAsiaTheme="majorEastAsia" w:hAnsiTheme="minorHAnsi" w:cstheme="majorBidi"/>
          <w:iCs/>
          <w:color w:val="000000" w:themeColor="text1"/>
        </w:rPr>
      </w:pPr>
      <w:r w:rsidRPr="003C5B2A">
        <w:rPr>
          <w:rFonts w:asciiTheme="minorHAnsi" w:eastAsiaTheme="majorEastAsia" w:hAnsiTheme="minorHAnsi" w:cstheme="majorBidi"/>
          <w:b/>
          <w:bCs/>
          <w:iCs/>
          <w:color w:val="000000" w:themeColor="text1"/>
        </w:rPr>
        <w:t xml:space="preserve">CYP3A Substrates: </w:t>
      </w:r>
      <w:r w:rsidRPr="003C5B2A">
        <w:rPr>
          <w:rFonts w:asciiTheme="minorHAnsi" w:eastAsiaTheme="majorEastAsia" w:hAnsiTheme="minorHAnsi" w:cstheme="majorBidi"/>
          <w:color w:val="000000" w:themeColor="text1"/>
        </w:rPr>
        <w:t>Avoid concomitant use unless otherwise recommended in the Prescribing Information for CYP3A substrates. Relacorilant is a strong CYP3A inhibitor. Relacorilant increases exposure of CYP3A substrates, which may increase the risk for adverse reactions related to these substrates.</w:t>
      </w:r>
    </w:p>
    <w:p w14:paraId="50A7DC8D" w14:textId="77777777" w:rsidR="00BB3DEB" w:rsidRPr="003C5B2A" w:rsidRDefault="00BB3DEB" w:rsidP="00BB3DEB">
      <w:pPr>
        <w:pStyle w:val="BodyText"/>
        <w:numPr>
          <w:ilvl w:val="0"/>
          <w:numId w:val="6"/>
        </w:numPr>
        <w:ind w:right="-29"/>
        <w:rPr>
          <w:rFonts w:asciiTheme="minorHAnsi" w:eastAsiaTheme="majorEastAsia" w:hAnsiTheme="minorHAnsi" w:cstheme="majorBidi"/>
          <w:b/>
          <w:bCs/>
          <w:color w:val="000000" w:themeColor="text1"/>
        </w:rPr>
      </w:pPr>
      <w:r w:rsidRPr="003C5B2A">
        <w:rPr>
          <w:rFonts w:asciiTheme="minorHAnsi" w:eastAsiaTheme="majorEastAsia" w:hAnsiTheme="minorHAnsi" w:cstheme="majorBidi"/>
          <w:b/>
          <w:bCs/>
          <w:color w:val="000000" w:themeColor="text1"/>
        </w:rPr>
        <w:t xml:space="preserve">Certain CYP2C8 Substrates: </w:t>
      </w:r>
      <w:r w:rsidRPr="003C5B2A" w:rsidDel="00EB7021">
        <w:rPr>
          <w:rFonts w:asciiTheme="minorHAnsi" w:eastAsiaTheme="majorEastAsia" w:hAnsiTheme="minorHAnsi" w:cstheme="majorBidi"/>
          <w:color w:val="000000" w:themeColor="text1"/>
        </w:rPr>
        <w:t xml:space="preserve">Avoid concomitant use unless otherwise recommended in the Prescribing Information for CYP2C8 substrates where minimal concentration changes may lead to reduced effectiveness. </w:t>
      </w:r>
      <w:r w:rsidRPr="003C5B2A">
        <w:rPr>
          <w:rFonts w:asciiTheme="minorHAnsi" w:eastAsiaTheme="majorEastAsia" w:hAnsiTheme="minorHAnsi" w:cstheme="majorBidi"/>
          <w:color w:val="000000" w:themeColor="text1"/>
        </w:rPr>
        <w:t>Relacorilant is a weak CYP2C8 inducer. Relacorilant decreases exposure of CYP2C8 substrates which may decrease the effectiveness related to these substrates.</w:t>
      </w:r>
    </w:p>
    <w:p w14:paraId="65D5AB54" w14:textId="77777777" w:rsidR="00BB3DEB" w:rsidRPr="002909F7" w:rsidRDefault="00BB3DEB" w:rsidP="00BB3DEB">
      <w:pPr>
        <w:pStyle w:val="BodyText"/>
        <w:ind w:right="-29"/>
        <w:rPr>
          <w:rFonts w:asciiTheme="minorHAnsi" w:hAnsiTheme="minorHAnsi"/>
          <w:b/>
          <w:bCs/>
          <w:color w:val="057374"/>
        </w:rPr>
      </w:pPr>
    </w:p>
    <w:p w14:paraId="511A9C17" w14:textId="77777777" w:rsidR="00BB3DEB" w:rsidRPr="002909F7" w:rsidRDefault="00BB3DEB" w:rsidP="00BB3DEB">
      <w:pPr>
        <w:pStyle w:val="BodyText"/>
        <w:ind w:right="-29"/>
        <w:rPr>
          <w:rFonts w:asciiTheme="minorHAnsi" w:hAnsiTheme="minorHAnsi"/>
          <w:b/>
          <w:bCs/>
          <w:color w:val="057374"/>
        </w:rPr>
      </w:pPr>
      <w:r w:rsidRPr="002909F7">
        <w:rPr>
          <w:rFonts w:asciiTheme="minorHAnsi" w:hAnsiTheme="minorHAnsi"/>
          <w:b/>
          <w:bCs/>
          <w:color w:val="057374"/>
        </w:rPr>
        <w:t xml:space="preserve">Use in Specific Populations: </w:t>
      </w:r>
    </w:p>
    <w:p w14:paraId="04E311C0" w14:textId="77777777" w:rsidR="00BB3DEB" w:rsidRPr="003C5B2A" w:rsidRDefault="00BB3DEB" w:rsidP="00BB3DEB">
      <w:pPr>
        <w:pStyle w:val="BodyText"/>
        <w:numPr>
          <w:ilvl w:val="0"/>
          <w:numId w:val="7"/>
        </w:numPr>
        <w:ind w:right="-29"/>
        <w:rPr>
          <w:rFonts w:asciiTheme="minorHAnsi" w:hAnsiTheme="minorHAnsi"/>
          <w:b/>
          <w:bCs/>
          <w:color w:val="000000" w:themeColor="text1"/>
        </w:rPr>
      </w:pPr>
      <w:r w:rsidRPr="003C5B2A">
        <w:rPr>
          <w:rFonts w:asciiTheme="minorHAnsi" w:hAnsiTheme="minorHAnsi"/>
          <w:b/>
          <w:bCs/>
          <w:color w:val="000000" w:themeColor="text1"/>
        </w:rPr>
        <w:t xml:space="preserve">Lactation: </w:t>
      </w:r>
      <w:r w:rsidRPr="003C5B2A">
        <w:rPr>
          <w:rFonts w:asciiTheme="minorHAnsi" w:hAnsiTheme="minorHAnsi"/>
          <w:color w:val="000000" w:themeColor="text1"/>
        </w:rPr>
        <w:t>Advise women not to breastfeed during treatment with LIFYORLI and for 1 week after the last dose</w:t>
      </w:r>
      <w:r w:rsidRPr="003C5B2A">
        <w:rPr>
          <w:rFonts w:asciiTheme="minorHAnsi" w:hAnsiTheme="minorHAnsi"/>
          <w:b/>
          <w:bCs/>
          <w:color w:val="000000" w:themeColor="text1"/>
        </w:rPr>
        <w:t xml:space="preserve">. </w:t>
      </w:r>
    </w:p>
    <w:p w14:paraId="162C9BBD" w14:textId="1E0FF8CC" w:rsidR="00BB3DEB" w:rsidRPr="003C5B2A" w:rsidRDefault="00BB3DEB" w:rsidP="00BB3DEB">
      <w:pPr>
        <w:pStyle w:val="BodyText"/>
        <w:numPr>
          <w:ilvl w:val="0"/>
          <w:numId w:val="7"/>
        </w:numPr>
        <w:ind w:right="-29"/>
        <w:rPr>
          <w:rFonts w:asciiTheme="minorHAnsi" w:hAnsiTheme="minorHAnsi"/>
          <w:color w:val="000000" w:themeColor="text1"/>
        </w:rPr>
      </w:pPr>
      <w:r w:rsidRPr="003C5B2A">
        <w:rPr>
          <w:rFonts w:asciiTheme="minorHAnsi" w:hAnsiTheme="minorHAnsi"/>
          <w:b/>
          <w:bCs/>
          <w:color w:val="000000" w:themeColor="text1"/>
        </w:rPr>
        <w:t xml:space="preserve">Geriatric Use: </w:t>
      </w:r>
      <w:r w:rsidRPr="003C5B2A">
        <w:rPr>
          <w:rFonts w:asciiTheme="minorHAnsi" w:hAnsiTheme="minorHAnsi"/>
          <w:color w:val="000000" w:themeColor="text1"/>
        </w:rPr>
        <w:t xml:space="preserve">A higher incidence of grade 3-4 adverse events and dosage modification occurred in patients aged </w:t>
      </w:r>
      <w:r w:rsidR="00D40EAD" w:rsidRPr="003C5B2A">
        <w:rPr>
          <w:rFonts w:asciiTheme="minorHAnsi" w:hAnsiTheme="minorHAnsi"/>
          <w:color w:val="000000" w:themeColor="text1"/>
        </w:rPr>
        <w:t>≥</w:t>
      </w:r>
      <w:r w:rsidRPr="003C5B2A">
        <w:rPr>
          <w:rFonts w:asciiTheme="minorHAnsi" w:hAnsiTheme="minorHAnsi"/>
          <w:color w:val="000000" w:themeColor="text1"/>
        </w:rPr>
        <w:t>65 years compared to younger adult patients.</w:t>
      </w:r>
    </w:p>
    <w:p w14:paraId="65F39263" w14:textId="1AC00EDE" w:rsidR="00BB3DEB" w:rsidRPr="003C5B2A" w:rsidRDefault="00BB3DEB" w:rsidP="003C5B2A">
      <w:pPr>
        <w:pStyle w:val="BodyText"/>
        <w:numPr>
          <w:ilvl w:val="0"/>
          <w:numId w:val="7"/>
        </w:numPr>
        <w:ind w:right="-29"/>
        <w:rPr>
          <w:rFonts w:asciiTheme="minorHAnsi" w:hAnsiTheme="minorHAnsi"/>
          <w:shd w:val="clear" w:color="auto" w:fill="FFFFFF"/>
        </w:rPr>
      </w:pPr>
      <w:r w:rsidRPr="003C5B2A">
        <w:rPr>
          <w:rFonts w:asciiTheme="minorHAnsi" w:hAnsiTheme="minorHAnsi"/>
          <w:b/>
          <w:bCs/>
          <w:color w:val="000000" w:themeColor="text1"/>
        </w:rPr>
        <w:t xml:space="preserve">Hepatic Impairment: </w:t>
      </w:r>
      <w:r w:rsidRPr="003C5B2A">
        <w:rPr>
          <w:rFonts w:asciiTheme="minorHAnsi" w:hAnsiTheme="minorHAnsi"/>
          <w:color w:val="000000" w:themeColor="text1"/>
        </w:rPr>
        <w:t>Avoid LIFYORLI in combination with nab-paclitaxel in patients with moderate or severe hepatic impairment (total bilirubin &gt;1.5 to 10x ULN and any AST).</w:t>
      </w:r>
    </w:p>
    <w:p w14:paraId="4C43D9CC" w14:textId="77777777" w:rsidR="00BB3DEB" w:rsidRPr="002909F7" w:rsidRDefault="00BB3DEB" w:rsidP="00BB3DEB">
      <w:pPr>
        <w:spacing w:after="0" w:line="240" w:lineRule="auto"/>
        <w:ind w:right="-360"/>
        <w:rPr>
          <w:rFonts w:cs="Times New Roman"/>
          <w:color w:val="000000" w:themeColor="text1"/>
          <w:sz w:val="21"/>
          <w:szCs w:val="21"/>
          <w:shd w:val="clear" w:color="auto" w:fill="FFFFFF"/>
        </w:rPr>
      </w:pPr>
    </w:p>
    <w:p w14:paraId="2C91FC33" w14:textId="77777777" w:rsidR="00D40EAD" w:rsidRPr="002909F7" w:rsidRDefault="00D40EAD" w:rsidP="00BB3DEB">
      <w:pPr>
        <w:spacing w:after="0" w:line="240" w:lineRule="auto"/>
        <w:ind w:right="-360"/>
        <w:rPr>
          <w:rFonts w:cs="Times New Roman"/>
          <w:color w:val="000000" w:themeColor="text1"/>
          <w:sz w:val="21"/>
          <w:szCs w:val="21"/>
          <w:shd w:val="clear" w:color="auto" w:fill="FFFFFF"/>
        </w:rPr>
      </w:pPr>
    </w:p>
    <w:p w14:paraId="6169228F" w14:textId="77777777" w:rsidR="00D40EAD" w:rsidRPr="003C5B2A" w:rsidRDefault="00D40EAD" w:rsidP="00BB3DEB">
      <w:pPr>
        <w:spacing w:after="0" w:line="240" w:lineRule="auto"/>
        <w:ind w:right="-360"/>
        <w:rPr>
          <w:rFonts w:cs="Times New Roman"/>
          <w:color w:val="000000" w:themeColor="text1"/>
          <w:sz w:val="21"/>
          <w:szCs w:val="21"/>
          <w:shd w:val="clear" w:color="auto" w:fill="FFFFFF"/>
        </w:rPr>
      </w:pPr>
    </w:p>
    <w:p w14:paraId="056BFC2C" w14:textId="6854FC08" w:rsidR="009E60B5" w:rsidRPr="003C5B2A" w:rsidRDefault="00BB3DEB" w:rsidP="003C5B2A">
      <w:pPr>
        <w:widowControl w:val="0"/>
        <w:autoSpaceDE w:val="0"/>
        <w:autoSpaceDN w:val="0"/>
        <w:spacing w:after="0" w:line="250" w:lineRule="exact"/>
        <w:ind w:right="-30"/>
        <w:outlineLvl w:val="0"/>
        <w:rPr>
          <w:rFonts w:eastAsia="Times New Roman" w:cs="Times New Roman"/>
          <w:b/>
          <w:bCs/>
          <w:kern w:val="0"/>
          <w:sz w:val="22"/>
          <w:szCs w:val="22"/>
          <w14:ligatures w14:val="none"/>
        </w:rPr>
      </w:pPr>
      <w:r w:rsidRPr="003C5B2A">
        <w:rPr>
          <w:rStyle w:val="Strong"/>
          <w:rFonts w:eastAsiaTheme="majorEastAsia" w:cstheme="majorBidi"/>
          <w:sz w:val="22"/>
          <w:szCs w:val="22"/>
        </w:rPr>
        <w:t>Please see the accompanying full</w:t>
      </w:r>
      <w:r w:rsidRPr="003C5B2A">
        <w:rPr>
          <w:rStyle w:val="Strong"/>
          <w:rFonts w:eastAsiaTheme="majorEastAsia" w:cstheme="majorBidi"/>
          <w:color w:val="0F4761" w:themeColor="accent1" w:themeShade="BF"/>
          <w:sz w:val="22"/>
          <w:szCs w:val="22"/>
        </w:rPr>
        <w:t xml:space="preserve"> </w:t>
      </w:r>
      <w:hyperlink r:id="rId11" w:history="1">
        <w:r w:rsidR="00C06088" w:rsidRPr="003C5B2A">
          <w:rPr>
            <w:rStyle w:val="Hyperlink"/>
            <w:rFonts w:eastAsiaTheme="majorEastAsia" w:cstheme="majorBidi"/>
            <w:b/>
            <w:bCs/>
            <w:sz w:val="22"/>
            <w:szCs w:val="22"/>
          </w:rPr>
          <w:t>Prescribing Information</w:t>
        </w:r>
      </w:hyperlink>
      <w:r w:rsidRPr="003C5B2A">
        <w:rPr>
          <w:rFonts w:eastAsiaTheme="majorEastAsia" w:cstheme="majorBidi"/>
          <w:color w:val="1E53A3"/>
          <w:sz w:val="22"/>
          <w:szCs w:val="22"/>
        </w:rPr>
        <w:t> </w:t>
      </w:r>
      <w:r w:rsidRPr="003C5B2A">
        <w:rPr>
          <w:rStyle w:val="Strong"/>
          <w:rFonts w:eastAsiaTheme="majorEastAsia" w:cstheme="majorBidi"/>
          <w:sz w:val="22"/>
          <w:szCs w:val="22"/>
        </w:rPr>
        <w:t xml:space="preserve">for additional Important Safety </w:t>
      </w:r>
      <w:r w:rsidRPr="00CA14F7">
        <w:rPr>
          <w:rStyle w:val="Strong"/>
          <w:sz w:val="22"/>
          <w:szCs w:val="22"/>
        </w:rPr>
        <w:t>Information.</w:t>
      </w:r>
    </w:p>
    <w:p w14:paraId="4DEF31D7" w14:textId="77777777" w:rsidR="009E60B5" w:rsidRDefault="009E60B5" w:rsidP="009E60B5">
      <w:pPr>
        <w:widowControl w:val="0"/>
        <w:autoSpaceDE w:val="0"/>
        <w:autoSpaceDN w:val="0"/>
        <w:spacing w:after="0" w:line="250" w:lineRule="exact"/>
        <w:ind w:left="-360" w:right="-30"/>
        <w:outlineLvl w:val="0"/>
        <w:rPr>
          <w:rFonts w:ascii="Times New Roman" w:eastAsia="Times New Roman" w:hAnsi="Times New Roman" w:cs="Times New Roman"/>
          <w:b/>
          <w:bCs/>
          <w:kern w:val="0"/>
          <w:sz w:val="22"/>
          <w:szCs w:val="22"/>
          <w14:ligatures w14:val="none"/>
        </w:rPr>
      </w:pPr>
    </w:p>
    <w:p w14:paraId="1C58CD33" w14:textId="77777777" w:rsidR="00C04D32" w:rsidRDefault="00C04D32" w:rsidP="003C5B2A">
      <w:pPr>
        <w:widowControl w:val="0"/>
        <w:autoSpaceDE w:val="0"/>
        <w:autoSpaceDN w:val="0"/>
        <w:spacing w:after="0" w:line="250" w:lineRule="exact"/>
        <w:ind w:right="-30"/>
        <w:outlineLvl w:val="0"/>
        <w:rPr>
          <w:rFonts w:ascii="Times New Roman" w:eastAsia="Times New Roman" w:hAnsi="Times New Roman" w:cs="Times New Roman"/>
          <w:b/>
          <w:bCs/>
          <w:kern w:val="0"/>
          <w:sz w:val="22"/>
          <w:szCs w:val="22"/>
          <w14:ligatures w14:val="none"/>
        </w:rPr>
      </w:pPr>
    </w:p>
    <w:p w14:paraId="4D8CC3A1" w14:textId="77777777" w:rsidR="00C04D32" w:rsidRDefault="00C04D32" w:rsidP="009E60B5">
      <w:pPr>
        <w:widowControl w:val="0"/>
        <w:autoSpaceDE w:val="0"/>
        <w:autoSpaceDN w:val="0"/>
        <w:spacing w:after="0" w:line="250" w:lineRule="exact"/>
        <w:ind w:left="-360" w:right="-30"/>
        <w:outlineLvl w:val="0"/>
        <w:rPr>
          <w:rFonts w:ascii="Times New Roman" w:eastAsia="Times New Roman" w:hAnsi="Times New Roman" w:cs="Times New Roman"/>
          <w:b/>
          <w:bCs/>
          <w:kern w:val="0"/>
          <w:sz w:val="22"/>
          <w:szCs w:val="22"/>
          <w14:ligatures w14:val="none"/>
        </w:rPr>
      </w:pPr>
    </w:p>
    <w:p w14:paraId="43F4B499" w14:textId="77777777" w:rsidR="00C04D32" w:rsidRDefault="00C04D32" w:rsidP="009E60B5">
      <w:pPr>
        <w:widowControl w:val="0"/>
        <w:autoSpaceDE w:val="0"/>
        <w:autoSpaceDN w:val="0"/>
        <w:spacing w:after="0" w:line="250" w:lineRule="exact"/>
        <w:ind w:left="-360" w:right="-30"/>
        <w:outlineLvl w:val="0"/>
        <w:rPr>
          <w:rFonts w:ascii="Times New Roman" w:eastAsia="Times New Roman" w:hAnsi="Times New Roman" w:cs="Times New Roman"/>
          <w:b/>
          <w:bCs/>
          <w:kern w:val="0"/>
          <w:sz w:val="22"/>
          <w:szCs w:val="22"/>
          <w14:ligatures w14:val="none"/>
        </w:rPr>
      </w:pPr>
    </w:p>
    <w:p w14:paraId="19BE4C89" w14:textId="77777777" w:rsidR="00C04D32" w:rsidRDefault="00C04D32" w:rsidP="009E60B5">
      <w:pPr>
        <w:widowControl w:val="0"/>
        <w:autoSpaceDE w:val="0"/>
        <w:autoSpaceDN w:val="0"/>
        <w:spacing w:after="0" w:line="250" w:lineRule="exact"/>
        <w:ind w:left="-360" w:right="-30"/>
        <w:outlineLvl w:val="0"/>
        <w:rPr>
          <w:rFonts w:ascii="Times New Roman" w:eastAsia="Times New Roman" w:hAnsi="Times New Roman" w:cs="Times New Roman"/>
          <w:b/>
          <w:bCs/>
          <w:kern w:val="0"/>
          <w:sz w:val="22"/>
          <w:szCs w:val="22"/>
          <w14:ligatures w14:val="none"/>
        </w:rPr>
      </w:pPr>
    </w:p>
    <w:p w14:paraId="7AEDCD12" w14:textId="562B058C" w:rsidR="009E60B5" w:rsidRDefault="009E60B5" w:rsidP="00635A6E">
      <w:pPr>
        <w:widowControl w:val="0"/>
        <w:autoSpaceDE w:val="0"/>
        <w:autoSpaceDN w:val="0"/>
        <w:spacing w:after="0" w:line="250" w:lineRule="exact"/>
        <w:ind w:right="-30"/>
        <w:outlineLvl w:val="0"/>
        <w:rPr>
          <w:rFonts w:ascii="Times New Roman" w:eastAsia="Times New Roman" w:hAnsi="Times New Roman" w:cs="Times New Roman"/>
          <w:b/>
          <w:bCs/>
          <w:kern w:val="0"/>
          <w:sz w:val="22"/>
          <w:szCs w:val="22"/>
          <w14:ligatures w14:val="none"/>
        </w:rPr>
      </w:pPr>
    </w:p>
    <w:p w14:paraId="2D240EC2" w14:textId="3CD86F1A" w:rsidR="009E60B5" w:rsidRPr="00671889" w:rsidRDefault="00843208" w:rsidP="009E60B5">
      <w:pPr>
        <w:widowControl w:val="0"/>
        <w:autoSpaceDE w:val="0"/>
        <w:autoSpaceDN w:val="0"/>
        <w:spacing w:after="0" w:line="250" w:lineRule="exact"/>
        <w:ind w:left="-360" w:right="-30"/>
        <w:outlineLvl w:val="0"/>
        <w:rPr>
          <w:rFonts w:ascii="Times New Roman" w:eastAsia="Times New Roman" w:hAnsi="Times New Roman" w:cs="Times New Roman"/>
          <w:kern w:val="0"/>
          <w:sz w:val="22"/>
          <w:szCs w:val="22"/>
          <w14:ligatures w14:val="none"/>
        </w:rPr>
      </w:pPr>
      <w:r>
        <w:rPr>
          <w:rFonts w:cs="Calibri"/>
          <w:noProof/>
          <w:color w:val="000000" w:themeColor="text1"/>
          <w:sz w:val="22"/>
          <w:szCs w:val="22"/>
        </w:rPr>
        <w:drawing>
          <wp:anchor distT="0" distB="0" distL="114300" distR="114300" simplePos="0" relativeHeight="251664384" behindDoc="1" locked="0" layoutInCell="1" allowOverlap="1" wp14:anchorId="2CBA5E1C" wp14:editId="0B91DEBD">
            <wp:simplePos x="0" y="0"/>
            <wp:positionH relativeFrom="column">
              <wp:posOffset>4280082</wp:posOffset>
            </wp:positionH>
            <wp:positionV relativeFrom="paragraph">
              <wp:posOffset>115570</wp:posOffset>
            </wp:positionV>
            <wp:extent cx="1704975" cy="549910"/>
            <wp:effectExtent l="0" t="0" r="0" b="0"/>
            <wp:wrapTight wrapText="bothSides">
              <wp:wrapPolygon edited="0">
                <wp:start x="0" y="0"/>
                <wp:lineTo x="0" y="20952"/>
                <wp:lineTo x="21399" y="20952"/>
                <wp:lineTo x="21399" y="0"/>
                <wp:lineTo x="0" y="0"/>
              </wp:wrapPolygon>
            </wp:wrapTight>
            <wp:docPr id="640979611"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983232" name="Picture 1" descr="A black text on a white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04975" cy="549910"/>
                    </a:xfrm>
                    <a:prstGeom prst="rect">
                      <a:avLst/>
                    </a:prstGeom>
                  </pic:spPr>
                </pic:pic>
              </a:graphicData>
            </a:graphic>
            <wp14:sizeRelH relativeFrom="page">
              <wp14:pctWidth>0</wp14:pctWidth>
            </wp14:sizeRelH>
            <wp14:sizeRelV relativeFrom="page">
              <wp14:pctHeight>0</wp14:pctHeight>
            </wp14:sizeRelV>
          </wp:anchor>
        </w:drawing>
      </w:r>
      <w:r>
        <w:rPr>
          <w:rFonts w:cs="Calibri"/>
          <w:noProof/>
          <w:color w:val="000000" w:themeColor="text1"/>
          <w:sz w:val="22"/>
          <w:szCs w:val="22"/>
        </w:rPr>
        <w:drawing>
          <wp:anchor distT="0" distB="0" distL="114300" distR="114300" simplePos="0" relativeHeight="251665408" behindDoc="1" locked="0" layoutInCell="1" allowOverlap="1" wp14:anchorId="4E114229" wp14:editId="20DA7BC8">
            <wp:simplePos x="0" y="0"/>
            <wp:positionH relativeFrom="column">
              <wp:posOffset>-196215</wp:posOffset>
            </wp:positionH>
            <wp:positionV relativeFrom="paragraph">
              <wp:posOffset>113030</wp:posOffset>
            </wp:positionV>
            <wp:extent cx="1379855" cy="593725"/>
            <wp:effectExtent l="0" t="0" r="0" b="0"/>
            <wp:wrapTight wrapText="bothSides">
              <wp:wrapPolygon edited="0">
                <wp:start x="7753" y="1848"/>
                <wp:lineTo x="2584" y="10165"/>
                <wp:lineTo x="1988" y="11551"/>
                <wp:lineTo x="2187" y="14785"/>
                <wp:lineTo x="3380" y="17557"/>
                <wp:lineTo x="3380" y="18019"/>
                <wp:lineTo x="10338" y="19405"/>
                <wp:lineTo x="16501" y="19405"/>
                <wp:lineTo x="17296" y="17557"/>
                <wp:lineTo x="19682" y="16633"/>
                <wp:lineTo x="19085" y="10627"/>
                <wp:lineTo x="12525" y="10165"/>
                <wp:lineTo x="13121" y="7393"/>
                <wp:lineTo x="12922" y="5082"/>
                <wp:lineTo x="11729" y="1848"/>
                <wp:lineTo x="7753" y="1848"/>
              </wp:wrapPolygon>
            </wp:wrapTight>
            <wp:docPr id="669531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53133" name="Picture 1" descr="A black background with a black squar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79855" cy="593725"/>
                    </a:xfrm>
                    <a:prstGeom prst="rect">
                      <a:avLst/>
                    </a:prstGeom>
                  </pic:spPr>
                </pic:pic>
              </a:graphicData>
            </a:graphic>
            <wp14:sizeRelH relativeFrom="page">
              <wp14:pctWidth>0</wp14:pctWidth>
            </wp14:sizeRelH>
            <wp14:sizeRelV relativeFrom="page">
              <wp14:pctHeight>0</wp14:pctHeight>
            </wp14:sizeRelV>
          </wp:anchor>
        </w:drawing>
      </w:r>
    </w:p>
    <w:p w14:paraId="5071A3DB" w14:textId="77777777" w:rsidR="00243754" w:rsidRDefault="00DA1C69" w:rsidP="00BE782C">
      <w:pPr>
        <w:spacing w:after="0" w:line="240" w:lineRule="auto"/>
        <w:ind w:left="720"/>
        <w:rPr>
          <w:rStyle w:val="scxw262215292"/>
          <w:color w:val="000000"/>
          <w:sz w:val="15"/>
          <w:szCs w:val="15"/>
          <w:shd w:val="clear" w:color="auto" w:fill="FFFFFF"/>
        </w:rPr>
      </w:pPr>
      <w:r>
        <w:rPr>
          <w:rStyle w:val="normaltextrun"/>
          <w:color w:val="000000"/>
          <w:sz w:val="15"/>
          <w:szCs w:val="15"/>
          <w:shd w:val="clear" w:color="auto" w:fill="FFFFFF"/>
        </w:rPr>
        <w:t xml:space="preserve">                            </w:t>
      </w:r>
      <w:r w:rsidRPr="00BE782C">
        <w:rPr>
          <w:rStyle w:val="normaltextrun"/>
          <w:color w:val="000000"/>
          <w:sz w:val="15"/>
          <w:szCs w:val="15"/>
          <w:shd w:val="clear" w:color="auto" w:fill="FFFFFF"/>
        </w:rPr>
        <w:t>LIFYORLI and the LIFYORLI logo are trademarks of Corce</w:t>
      </w:r>
      <w:r>
        <w:rPr>
          <w:rStyle w:val="normaltextrun"/>
          <w:color w:val="000000"/>
          <w:sz w:val="15"/>
          <w:szCs w:val="15"/>
          <w:shd w:val="clear" w:color="auto" w:fill="FFFFFF"/>
        </w:rPr>
        <w:t>pt.</w:t>
      </w:r>
      <w:r w:rsidRPr="00BE782C">
        <w:rPr>
          <w:rStyle w:val="normaltextrun"/>
          <w:color w:val="000000"/>
          <w:sz w:val="15"/>
          <w:szCs w:val="15"/>
          <w:shd w:val="clear" w:color="auto" w:fill="FFFFFF"/>
        </w:rPr>
        <w:t> </w:t>
      </w:r>
      <w:r w:rsidRPr="00BE782C">
        <w:rPr>
          <w:rStyle w:val="scxw262215292"/>
          <w:color w:val="000000"/>
          <w:sz w:val="15"/>
          <w:szCs w:val="15"/>
          <w:shd w:val="clear" w:color="auto" w:fill="FFFFFF"/>
        </w:rPr>
        <w:t> </w:t>
      </w:r>
      <w:r w:rsidRPr="00BE782C">
        <w:rPr>
          <w:color w:val="000000"/>
          <w:sz w:val="15"/>
          <w:szCs w:val="15"/>
          <w:shd w:val="clear" w:color="auto" w:fill="FFFFFF"/>
        </w:rPr>
        <w:br/>
      </w:r>
      <w:r>
        <w:rPr>
          <w:rStyle w:val="normaltextrun"/>
          <w:color w:val="000000"/>
          <w:sz w:val="15"/>
          <w:szCs w:val="15"/>
          <w:shd w:val="clear" w:color="auto" w:fill="FFFFFF"/>
        </w:rPr>
        <w:t xml:space="preserve">                           </w:t>
      </w:r>
      <w:r w:rsidRPr="00BE782C">
        <w:rPr>
          <w:rStyle w:val="normaltextrun"/>
          <w:color w:val="000000"/>
          <w:sz w:val="15"/>
          <w:szCs w:val="15"/>
          <w:shd w:val="clear" w:color="auto" w:fill="FFFFFF"/>
        </w:rPr>
        <w:t>Corcept and the Corcept logo are registered trademarks. </w:t>
      </w:r>
      <w:r w:rsidRPr="00BE782C">
        <w:rPr>
          <w:rStyle w:val="scxw262215292"/>
          <w:color w:val="000000"/>
          <w:sz w:val="15"/>
          <w:szCs w:val="15"/>
          <w:shd w:val="clear" w:color="auto" w:fill="FFFFFF"/>
        </w:rPr>
        <w:t> </w:t>
      </w:r>
    </w:p>
    <w:p w14:paraId="3EF472F7" w14:textId="6B30DE57" w:rsidR="009E60B5" w:rsidRDefault="00243754" w:rsidP="00243754">
      <w:pPr>
        <w:spacing w:after="0" w:line="240" w:lineRule="auto"/>
        <w:ind w:left="720"/>
        <w:rPr>
          <w:rFonts w:ascii="Aptos" w:hAnsi="Aptos" w:cs="Calibri"/>
          <w:noProof/>
          <w:color w:val="000000" w:themeColor="text1"/>
          <w:sz w:val="22"/>
          <w:szCs w:val="22"/>
        </w:rPr>
      </w:pPr>
      <w:r>
        <w:rPr>
          <w:rStyle w:val="scxw262215292"/>
          <w:color w:val="000000"/>
          <w:sz w:val="15"/>
          <w:szCs w:val="15"/>
          <w:shd w:val="clear" w:color="auto" w:fill="FFFFFF"/>
        </w:rPr>
        <w:t xml:space="preserve">      </w:t>
      </w:r>
      <w:r w:rsidRPr="00EB24D3">
        <w:rPr>
          <w:sz w:val="15"/>
          <w:szCs w:val="15"/>
          <w:shd w:val="clear" w:color="auto" w:fill="FFFFFF"/>
        </w:rPr>
        <w:t>All other trademarks are the property of their respective owners.</w:t>
      </w:r>
      <w:r w:rsidR="00DA1C69" w:rsidRPr="00BE782C">
        <w:rPr>
          <w:color w:val="FF40FF"/>
          <w:sz w:val="15"/>
          <w:szCs w:val="15"/>
          <w:shd w:val="clear" w:color="auto" w:fill="FFFFFF"/>
        </w:rPr>
        <w:br/>
      </w:r>
      <w:r w:rsidR="00DA1C69">
        <w:rPr>
          <w:rStyle w:val="normaltextrun"/>
          <w:color w:val="000000"/>
          <w:sz w:val="15"/>
          <w:szCs w:val="15"/>
          <w:shd w:val="clear" w:color="auto" w:fill="FFFFFF"/>
        </w:rPr>
        <w:t xml:space="preserve">      </w:t>
      </w:r>
      <w:r w:rsidR="00DA1C69" w:rsidRPr="00BE782C">
        <w:rPr>
          <w:rStyle w:val="normaltextrun"/>
          <w:color w:val="000000"/>
          <w:sz w:val="15"/>
          <w:szCs w:val="15"/>
          <w:shd w:val="clear" w:color="auto" w:fill="FFFFFF"/>
        </w:rPr>
        <w:t>© 2026 Corcept. All rights reserved. </w:t>
      </w:r>
      <w:r w:rsidR="009E60B5" w:rsidRPr="00BE782C">
        <w:rPr>
          <w:color w:val="000000" w:themeColor="text1"/>
          <w:sz w:val="15"/>
          <w:szCs w:val="15"/>
        </w:rPr>
        <w:t>US-REL-25-00</w:t>
      </w:r>
      <w:r w:rsidR="00D03C5F" w:rsidRPr="00BE782C">
        <w:rPr>
          <w:color w:val="000000" w:themeColor="text1"/>
          <w:sz w:val="15"/>
          <w:szCs w:val="15"/>
        </w:rPr>
        <w:t>78</w:t>
      </w:r>
      <w:r w:rsidR="009E60B5" w:rsidRPr="00BE782C">
        <w:rPr>
          <w:color w:val="000000" w:themeColor="text1"/>
          <w:sz w:val="15"/>
          <w:szCs w:val="15"/>
        </w:rPr>
        <w:t xml:space="preserve"> </w:t>
      </w:r>
      <w:r w:rsidR="00FF6A37">
        <w:rPr>
          <w:color w:val="000000" w:themeColor="text1"/>
          <w:sz w:val="15"/>
          <w:szCs w:val="15"/>
        </w:rPr>
        <w:t>05</w:t>
      </w:r>
      <w:r w:rsidR="009E60B5" w:rsidRPr="00BE782C">
        <w:rPr>
          <w:color w:val="000000" w:themeColor="text1"/>
          <w:sz w:val="15"/>
          <w:szCs w:val="15"/>
        </w:rPr>
        <w:t>-26</w:t>
      </w:r>
    </w:p>
    <w:p w14:paraId="05020403" w14:textId="77777777" w:rsidR="009E60B5" w:rsidRPr="001115E6" w:rsidRDefault="009E60B5" w:rsidP="002B23B6">
      <w:pPr>
        <w:spacing w:after="0" w:line="240" w:lineRule="auto"/>
        <w:rPr>
          <w:rFonts w:cs="Calibri"/>
          <w:noProof/>
          <w:color w:val="000000" w:themeColor="text1"/>
          <w:sz w:val="22"/>
          <w:szCs w:val="22"/>
        </w:rPr>
      </w:pPr>
    </w:p>
    <w:p w14:paraId="2ABBEAC3" w14:textId="77777777" w:rsidR="009A2D68" w:rsidRDefault="009A2D68" w:rsidP="009A2A38">
      <w:pPr>
        <w:spacing w:after="0" w:line="240" w:lineRule="auto"/>
        <w:rPr>
          <w:rFonts w:cs="Calibri"/>
          <w:noProof/>
          <w:color w:val="000000" w:themeColor="text1"/>
          <w:sz w:val="22"/>
          <w:szCs w:val="22"/>
          <w:highlight w:val="yellow"/>
        </w:rPr>
      </w:pPr>
    </w:p>
    <w:p w14:paraId="16E3EED6" w14:textId="77777777" w:rsidR="009A2D68" w:rsidRDefault="009A2D68" w:rsidP="009A2A38">
      <w:pPr>
        <w:spacing w:after="0" w:line="240" w:lineRule="auto"/>
        <w:rPr>
          <w:rFonts w:cs="Calibri"/>
          <w:noProof/>
          <w:color w:val="000000" w:themeColor="text1"/>
          <w:sz w:val="22"/>
          <w:szCs w:val="22"/>
          <w:highlight w:val="yellow"/>
        </w:rPr>
      </w:pPr>
    </w:p>
    <w:p w14:paraId="578A9F96" w14:textId="77777777" w:rsidR="00BE782C" w:rsidRDefault="00BE782C" w:rsidP="009A2A38">
      <w:pPr>
        <w:spacing w:after="0" w:line="240" w:lineRule="auto"/>
        <w:rPr>
          <w:rFonts w:cs="Calibri"/>
          <w:noProof/>
          <w:color w:val="000000" w:themeColor="text1"/>
          <w:sz w:val="22"/>
          <w:szCs w:val="22"/>
          <w:highlight w:val="yellow"/>
        </w:rPr>
      </w:pPr>
    </w:p>
    <w:p w14:paraId="52EFEB64" w14:textId="77777777" w:rsidR="00BE782C" w:rsidRDefault="00BE782C" w:rsidP="009A2A38">
      <w:pPr>
        <w:spacing w:after="0" w:line="240" w:lineRule="auto"/>
        <w:rPr>
          <w:rFonts w:cs="Calibri"/>
          <w:noProof/>
          <w:color w:val="000000" w:themeColor="text1"/>
          <w:sz w:val="22"/>
          <w:szCs w:val="22"/>
          <w:highlight w:val="yellow"/>
        </w:rPr>
      </w:pPr>
    </w:p>
    <w:p w14:paraId="26D8C1B3" w14:textId="3563DBB1" w:rsidR="009A2A38" w:rsidRPr="001115E6" w:rsidRDefault="009A2A38" w:rsidP="009A2A38">
      <w:pPr>
        <w:spacing w:after="0" w:line="240" w:lineRule="auto"/>
        <w:rPr>
          <w:rFonts w:cs="Calibri"/>
          <w:noProof/>
          <w:color w:val="000000" w:themeColor="text1"/>
          <w:sz w:val="22"/>
          <w:szCs w:val="22"/>
        </w:rPr>
      </w:pPr>
      <w:r w:rsidRPr="001115E6">
        <w:rPr>
          <w:rFonts w:cs="Calibri"/>
          <w:noProof/>
          <w:color w:val="000000" w:themeColor="text1"/>
          <w:sz w:val="22"/>
          <w:szCs w:val="22"/>
          <w:highlight w:val="yellow"/>
        </w:rPr>
        <w:t>[Date]</w:t>
      </w:r>
    </w:p>
    <w:p w14:paraId="198351F3" w14:textId="77777777" w:rsidR="001708C9" w:rsidRPr="001115E6" w:rsidRDefault="001708C9" w:rsidP="009A2A38">
      <w:pPr>
        <w:spacing w:after="0" w:line="240" w:lineRule="auto"/>
        <w:rPr>
          <w:rFonts w:cs="Calibri"/>
          <w:noProof/>
          <w:color w:val="000000" w:themeColor="text1"/>
          <w:sz w:val="22"/>
          <w:szCs w:val="22"/>
        </w:rPr>
      </w:pPr>
    </w:p>
    <w:p w14:paraId="72058F99" w14:textId="77777777" w:rsidR="001D0C83" w:rsidRPr="00843208" w:rsidRDefault="001D0C83" w:rsidP="001D0C83">
      <w:pPr>
        <w:spacing w:after="0" w:line="240" w:lineRule="auto"/>
        <w:rPr>
          <w:rFonts w:cs="Calibri"/>
          <w:noProof/>
          <w:color w:val="000000" w:themeColor="text1"/>
          <w:sz w:val="22"/>
          <w:szCs w:val="22"/>
        </w:rPr>
      </w:pPr>
      <w:r w:rsidRPr="00843208">
        <w:rPr>
          <w:rFonts w:cs="Calibri"/>
          <w:b/>
          <w:bCs/>
          <w:noProof/>
          <w:color w:val="000000" w:themeColor="text1"/>
          <w:sz w:val="22"/>
          <w:szCs w:val="22"/>
        </w:rPr>
        <w:t>Attn</w:t>
      </w:r>
      <w:r w:rsidRPr="00843208">
        <w:rPr>
          <w:rFonts w:cs="Calibri"/>
          <w:noProof/>
          <w:color w:val="000000" w:themeColor="text1"/>
          <w:sz w:val="22"/>
          <w:szCs w:val="22"/>
        </w:rPr>
        <w:t xml:space="preserve">: </w:t>
      </w:r>
    </w:p>
    <w:p w14:paraId="5A62E26E" w14:textId="77777777" w:rsidR="001D0C83" w:rsidRPr="00843208" w:rsidRDefault="001D0C83" w:rsidP="001D0C83">
      <w:pPr>
        <w:spacing w:after="0" w:line="240" w:lineRule="auto"/>
        <w:rPr>
          <w:rFonts w:cs="Calibri"/>
          <w:color w:val="000000" w:themeColor="text1"/>
          <w:sz w:val="22"/>
          <w:szCs w:val="22"/>
        </w:rPr>
      </w:pPr>
      <w:r w:rsidRPr="00843208">
        <w:rPr>
          <w:rFonts w:cs="Calibri"/>
          <w:noProof/>
          <w:color w:val="000000" w:themeColor="text1"/>
          <w:sz w:val="22"/>
          <w:szCs w:val="22"/>
          <w:highlight w:val="yellow"/>
        </w:rPr>
        <w:t>[Insert MAC/health plan contact name]</w:t>
      </w:r>
      <w:r w:rsidRPr="00843208">
        <w:rPr>
          <w:rFonts w:cs="Calibri"/>
          <w:noProof/>
          <w:color w:val="000000" w:themeColor="text1"/>
          <w:sz w:val="22"/>
          <w:szCs w:val="22"/>
        </w:rPr>
        <w:tab/>
      </w:r>
      <w:r w:rsidRPr="00843208">
        <w:rPr>
          <w:rFonts w:cs="Calibri"/>
          <w:noProof/>
          <w:color w:val="000000" w:themeColor="text1"/>
          <w:sz w:val="22"/>
          <w:szCs w:val="22"/>
        </w:rPr>
        <w:tab/>
      </w:r>
      <w:r w:rsidRPr="00843208">
        <w:rPr>
          <w:rFonts w:cs="Calibri"/>
          <w:b/>
          <w:bCs/>
          <w:color w:val="000000" w:themeColor="text1"/>
          <w:sz w:val="22"/>
          <w:szCs w:val="22"/>
        </w:rPr>
        <w:t>Patient name</w:t>
      </w:r>
      <w:r w:rsidRPr="00843208">
        <w:rPr>
          <w:rFonts w:cs="Calibri"/>
          <w:color w:val="000000" w:themeColor="text1"/>
          <w:sz w:val="22"/>
          <w:szCs w:val="22"/>
        </w:rPr>
        <w:t xml:space="preserve">: </w:t>
      </w:r>
      <w:r w:rsidRPr="00843208">
        <w:rPr>
          <w:rFonts w:cs="Calibri"/>
          <w:noProof/>
          <w:color w:val="000000" w:themeColor="text1"/>
          <w:sz w:val="22"/>
          <w:szCs w:val="22"/>
          <w:highlight w:val="yellow"/>
        </w:rPr>
        <w:t>[Insert patient name]</w:t>
      </w:r>
      <w:r w:rsidRPr="00843208">
        <w:rPr>
          <w:rFonts w:cs="Calibri"/>
          <w:color w:val="000000" w:themeColor="text1"/>
          <w:sz w:val="22"/>
          <w:szCs w:val="22"/>
        </w:rPr>
        <w:t xml:space="preserve"> </w:t>
      </w:r>
    </w:p>
    <w:p w14:paraId="1E958DEC" w14:textId="77777777" w:rsidR="001D0C83" w:rsidRPr="00843208" w:rsidRDefault="001D0C83" w:rsidP="001D0C83">
      <w:pPr>
        <w:spacing w:after="0" w:line="240" w:lineRule="auto"/>
        <w:rPr>
          <w:rFonts w:cs="Calibri"/>
          <w:noProof/>
          <w:color w:val="000000" w:themeColor="text1"/>
          <w:sz w:val="22"/>
          <w:szCs w:val="22"/>
        </w:rPr>
      </w:pPr>
      <w:r w:rsidRPr="00843208">
        <w:rPr>
          <w:rFonts w:cs="Calibri"/>
          <w:noProof/>
          <w:color w:val="000000" w:themeColor="text1"/>
          <w:sz w:val="22"/>
          <w:szCs w:val="22"/>
          <w:highlight w:val="yellow"/>
        </w:rPr>
        <w:t xml:space="preserve">[Insert MAC/health plan name] </w:t>
      </w:r>
      <w:r w:rsidRPr="00843208">
        <w:rPr>
          <w:rFonts w:cs="Calibri"/>
          <w:noProof/>
          <w:color w:val="000000" w:themeColor="text1"/>
          <w:sz w:val="22"/>
          <w:szCs w:val="22"/>
        </w:rPr>
        <w:tab/>
      </w:r>
      <w:r w:rsidRPr="00843208">
        <w:rPr>
          <w:rFonts w:cs="Calibri"/>
          <w:color w:val="000000" w:themeColor="text1"/>
          <w:sz w:val="22"/>
          <w:szCs w:val="22"/>
        </w:rPr>
        <w:tab/>
      </w:r>
      <w:r w:rsidRPr="00843208">
        <w:rPr>
          <w:rFonts w:cs="Calibri"/>
          <w:color w:val="000000" w:themeColor="text1"/>
          <w:sz w:val="22"/>
          <w:szCs w:val="22"/>
        </w:rPr>
        <w:tab/>
      </w:r>
      <w:r w:rsidRPr="00843208">
        <w:rPr>
          <w:rFonts w:cs="Calibri"/>
          <w:b/>
          <w:bCs/>
          <w:color w:val="000000" w:themeColor="text1"/>
          <w:sz w:val="22"/>
          <w:szCs w:val="22"/>
        </w:rPr>
        <w:t>DOB</w:t>
      </w:r>
      <w:r w:rsidRPr="00843208">
        <w:rPr>
          <w:rFonts w:cs="Calibri"/>
          <w:color w:val="000000" w:themeColor="text1"/>
          <w:sz w:val="22"/>
          <w:szCs w:val="22"/>
        </w:rPr>
        <w:t xml:space="preserve">: </w:t>
      </w:r>
      <w:r w:rsidRPr="00843208">
        <w:rPr>
          <w:rFonts w:cs="Calibri"/>
          <w:noProof/>
          <w:color w:val="000000" w:themeColor="text1"/>
          <w:sz w:val="22"/>
          <w:szCs w:val="22"/>
          <w:highlight w:val="yellow"/>
        </w:rPr>
        <w:t>[Insert patient’s date of birth]</w:t>
      </w:r>
      <w:r w:rsidRPr="00843208">
        <w:rPr>
          <w:rFonts w:cs="Calibri"/>
          <w:noProof/>
          <w:color w:val="000000" w:themeColor="text1"/>
          <w:sz w:val="22"/>
          <w:szCs w:val="22"/>
          <w:highlight w:val="yellow"/>
        </w:rPr>
        <w:tab/>
      </w:r>
    </w:p>
    <w:p w14:paraId="6A726927" w14:textId="77777777" w:rsidR="001D0C83" w:rsidRPr="00843208" w:rsidRDefault="001D0C83" w:rsidP="001D0C83">
      <w:pPr>
        <w:spacing w:after="0" w:line="240" w:lineRule="auto"/>
        <w:rPr>
          <w:rFonts w:cs="Calibri"/>
          <w:color w:val="000000" w:themeColor="text1"/>
          <w:sz w:val="22"/>
          <w:szCs w:val="22"/>
        </w:rPr>
      </w:pPr>
      <w:r w:rsidRPr="00843208">
        <w:rPr>
          <w:rFonts w:cs="Calibri"/>
          <w:noProof/>
          <w:color w:val="000000" w:themeColor="text1"/>
          <w:sz w:val="22"/>
          <w:szCs w:val="22"/>
          <w:highlight w:val="yellow"/>
        </w:rPr>
        <w:t>[Insert MAC/health plan mailing address]</w:t>
      </w:r>
      <w:r w:rsidRPr="00843208">
        <w:rPr>
          <w:rFonts w:cs="Calibri"/>
          <w:color w:val="000000" w:themeColor="text1"/>
          <w:sz w:val="22"/>
          <w:szCs w:val="22"/>
        </w:rPr>
        <w:t xml:space="preserve"> </w:t>
      </w:r>
      <w:r w:rsidRPr="00843208">
        <w:rPr>
          <w:rFonts w:cs="Calibri"/>
          <w:color w:val="000000" w:themeColor="text1"/>
          <w:sz w:val="22"/>
          <w:szCs w:val="22"/>
        </w:rPr>
        <w:tab/>
      </w:r>
      <w:r w:rsidRPr="00843208">
        <w:rPr>
          <w:rFonts w:cs="Calibri"/>
          <w:color w:val="000000" w:themeColor="text1"/>
          <w:sz w:val="22"/>
          <w:szCs w:val="22"/>
        </w:rPr>
        <w:tab/>
      </w:r>
      <w:r w:rsidRPr="00843208">
        <w:rPr>
          <w:rFonts w:cs="Calibri"/>
          <w:b/>
          <w:bCs/>
          <w:color w:val="000000" w:themeColor="text1"/>
          <w:sz w:val="22"/>
          <w:szCs w:val="22"/>
        </w:rPr>
        <w:t>Policy number</w:t>
      </w:r>
      <w:r w:rsidRPr="00843208">
        <w:rPr>
          <w:rFonts w:cs="Calibri"/>
          <w:color w:val="000000" w:themeColor="text1"/>
          <w:sz w:val="22"/>
          <w:szCs w:val="22"/>
        </w:rPr>
        <w:t>:</w:t>
      </w:r>
      <w:r w:rsidRPr="00843208">
        <w:rPr>
          <w:rFonts w:cs="Calibri"/>
          <w:noProof/>
          <w:color w:val="000000" w:themeColor="text1"/>
          <w:sz w:val="22"/>
          <w:szCs w:val="22"/>
          <w:highlight w:val="yellow"/>
        </w:rPr>
        <w:t xml:space="preserve"> [Insert policy number] </w:t>
      </w:r>
    </w:p>
    <w:p w14:paraId="4238F5E1" w14:textId="77777777" w:rsidR="001D0C83" w:rsidRPr="00843208" w:rsidRDefault="001D0C83" w:rsidP="001D0C83">
      <w:pPr>
        <w:spacing w:after="0" w:line="240" w:lineRule="auto"/>
        <w:ind w:left="4320"/>
        <w:rPr>
          <w:rFonts w:cs="Calibri"/>
          <w:noProof/>
          <w:color w:val="000000" w:themeColor="text1"/>
          <w:sz w:val="22"/>
          <w:szCs w:val="22"/>
        </w:rPr>
      </w:pPr>
      <w:r w:rsidRPr="00843208">
        <w:rPr>
          <w:rFonts w:cs="Calibri"/>
          <w:b/>
          <w:bCs/>
          <w:color w:val="000000" w:themeColor="text1"/>
          <w:sz w:val="22"/>
          <w:szCs w:val="22"/>
        </w:rPr>
        <w:t xml:space="preserve">       </w:t>
      </w:r>
      <w:r w:rsidRPr="00843208">
        <w:rPr>
          <w:rFonts w:cs="Calibri"/>
          <w:b/>
          <w:bCs/>
          <w:color w:val="000000" w:themeColor="text1"/>
          <w:sz w:val="22"/>
          <w:szCs w:val="22"/>
        </w:rPr>
        <w:tab/>
        <w:t>Group number</w:t>
      </w:r>
      <w:r w:rsidRPr="00843208">
        <w:rPr>
          <w:rFonts w:cs="Calibri"/>
          <w:color w:val="000000" w:themeColor="text1"/>
          <w:sz w:val="22"/>
          <w:szCs w:val="22"/>
        </w:rPr>
        <w:t xml:space="preserve">: </w:t>
      </w:r>
      <w:r w:rsidRPr="00843208">
        <w:rPr>
          <w:rFonts w:cs="Calibri"/>
          <w:noProof/>
          <w:color w:val="000000" w:themeColor="text1"/>
          <w:sz w:val="22"/>
          <w:szCs w:val="22"/>
          <w:highlight w:val="yellow"/>
        </w:rPr>
        <w:t>[Insert group number]</w:t>
      </w:r>
    </w:p>
    <w:p w14:paraId="1E3D841E" w14:textId="77777777" w:rsidR="001D0C83" w:rsidRPr="00843208" w:rsidRDefault="001D0C83" w:rsidP="001D0C83">
      <w:pPr>
        <w:spacing w:after="0" w:line="240" w:lineRule="auto"/>
        <w:ind w:left="4680"/>
        <w:rPr>
          <w:rFonts w:cs="Calibri"/>
          <w:color w:val="000000" w:themeColor="text1"/>
          <w:sz w:val="22"/>
          <w:szCs w:val="22"/>
        </w:rPr>
      </w:pPr>
      <w:r w:rsidRPr="00843208">
        <w:rPr>
          <w:rFonts w:cs="Calibri"/>
          <w:b/>
          <w:bCs/>
          <w:color w:val="000000" w:themeColor="text1"/>
          <w:sz w:val="22"/>
          <w:szCs w:val="22"/>
        </w:rPr>
        <w:t xml:space="preserve">        Claim number</w:t>
      </w:r>
      <w:r w:rsidRPr="00843208">
        <w:rPr>
          <w:rFonts w:cs="Calibri"/>
          <w:color w:val="000000" w:themeColor="text1"/>
          <w:sz w:val="22"/>
          <w:szCs w:val="22"/>
        </w:rPr>
        <w:t xml:space="preserve">: </w:t>
      </w:r>
      <w:r w:rsidRPr="00843208">
        <w:rPr>
          <w:rFonts w:cs="Calibri"/>
          <w:noProof/>
          <w:color w:val="000000" w:themeColor="text1"/>
          <w:sz w:val="22"/>
          <w:szCs w:val="22"/>
          <w:highlight w:val="yellow"/>
        </w:rPr>
        <w:t>[Insert claim number]</w:t>
      </w:r>
      <w:r w:rsidRPr="00843208">
        <w:rPr>
          <w:rFonts w:cs="Calibri"/>
          <w:color w:val="000000" w:themeColor="text1"/>
          <w:sz w:val="22"/>
          <w:szCs w:val="22"/>
        </w:rPr>
        <w:t xml:space="preserve"> </w:t>
      </w:r>
    </w:p>
    <w:p w14:paraId="4F3D08B4" w14:textId="77777777" w:rsidR="009A2A38" w:rsidRPr="001115E6" w:rsidRDefault="009A2A38" w:rsidP="009E60B5">
      <w:pPr>
        <w:spacing w:after="0" w:line="240" w:lineRule="auto"/>
        <w:ind w:left="6570" w:hanging="900"/>
        <w:rPr>
          <w:rFonts w:cs="Calibri"/>
          <w:color w:val="000000" w:themeColor="text1"/>
          <w:kern w:val="0"/>
          <w:sz w:val="22"/>
          <w:szCs w:val="22"/>
        </w:rPr>
      </w:pPr>
    </w:p>
    <w:p w14:paraId="7383B2C3" w14:textId="62710AB4" w:rsidR="009A2A38" w:rsidRPr="001115E6" w:rsidRDefault="009A2A38" w:rsidP="009A2A38">
      <w:pPr>
        <w:spacing w:after="0" w:line="240" w:lineRule="auto"/>
        <w:rPr>
          <w:rFonts w:cs="Calibri"/>
          <w:color w:val="000000" w:themeColor="text1"/>
          <w:kern w:val="0"/>
          <w:sz w:val="22"/>
          <w:szCs w:val="22"/>
        </w:rPr>
      </w:pPr>
      <w:r w:rsidRPr="001115E6">
        <w:rPr>
          <w:rFonts w:cs="Calibri"/>
          <w:b/>
          <w:bCs/>
          <w:color w:val="000000" w:themeColor="text1"/>
          <w:kern w:val="0"/>
          <w:sz w:val="22"/>
          <w:szCs w:val="22"/>
        </w:rPr>
        <w:t>Re:</w:t>
      </w:r>
      <w:r w:rsidRPr="001115E6">
        <w:rPr>
          <w:rFonts w:cs="Calibri"/>
          <w:color w:val="000000" w:themeColor="text1"/>
          <w:kern w:val="0"/>
          <w:sz w:val="22"/>
          <w:szCs w:val="22"/>
        </w:rPr>
        <w:t xml:space="preserve"> Request for authorization of </w:t>
      </w:r>
      <w:r w:rsidRPr="001115E6">
        <w:rPr>
          <w:rFonts w:cs="Calibri"/>
          <w:color w:val="000000" w:themeColor="text1"/>
          <w:sz w:val="22"/>
          <w:szCs w:val="22"/>
        </w:rPr>
        <w:t>LIFYORLI (</w:t>
      </w:r>
      <w:r w:rsidRPr="001115E6">
        <w:rPr>
          <w:rFonts w:cs="Calibri"/>
          <w:color w:val="000000" w:themeColor="text1"/>
          <w:kern w:val="0"/>
          <w:sz w:val="22"/>
          <w:szCs w:val="22"/>
        </w:rPr>
        <w:t>relacorilant)</w:t>
      </w:r>
      <w:r w:rsidRPr="001115E6">
        <w:rPr>
          <w:rFonts w:cs="Calibri"/>
          <w:color w:val="000000" w:themeColor="text1"/>
          <w:sz w:val="22"/>
          <w:szCs w:val="22"/>
        </w:rPr>
        <w:t xml:space="preserve"> </w:t>
      </w:r>
      <w:r w:rsidRPr="001115E6">
        <w:rPr>
          <w:rFonts w:cs="Calibri"/>
          <w:color w:val="000000" w:themeColor="text1"/>
          <w:kern w:val="0"/>
          <w:sz w:val="22"/>
          <w:szCs w:val="22"/>
        </w:rPr>
        <w:t>+ nab-paclitaxel</w:t>
      </w:r>
    </w:p>
    <w:p w14:paraId="1E6DC6B9" w14:textId="77777777" w:rsidR="009A2A38" w:rsidRPr="001115E6" w:rsidRDefault="009A2A38" w:rsidP="009A2A38">
      <w:pPr>
        <w:spacing w:after="0" w:line="240" w:lineRule="auto"/>
        <w:rPr>
          <w:rFonts w:cs="Calibri"/>
          <w:color w:val="000000" w:themeColor="text1"/>
          <w:kern w:val="0"/>
          <w:sz w:val="22"/>
          <w:szCs w:val="22"/>
        </w:rPr>
      </w:pPr>
    </w:p>
    <w:p w14:paraId="746D5FA0" w14:textId="72346455" w:rsidR="009A2A38" w:rsidRPr="001115E6" w:rsidRDefault="009A2A38" w:rsidP="009A2A38">
      <w:pPr>
        <w:spacing w:after="0" w:line="240" w:lineRule="auto"/>
        <w:rPr>
          <w:rFonts w:cs="Calibri"/>
          <w:color w:val="000000" w:themeColor="text1"/>
          <w:kern w:val="0"/>
          <w:sz w:val="22"/>
          <w:szCs w:val="22"/>
        </w:rPr>
      </w:pPr>
      <w:r w:rsidRPr="001115E6">
        <w:rPr>
          <w:rFonts w:cs="Calibri"/>
          <w:color w:val="000000" w:themeColor="text1"/>
          <w:kern w:val="0"/>
          <w:sz w:val="22"/>
          <w:szCs w:val="22"/>
        </w:rPr>
        <w:t xml:space="preserve">To </w:t>
      </w:r>
      <w:r w:rsidR="00D36EBB" w:rsidRPr="001115E6">
        <w:rPr>
          <w:rFonts w:cs="Calibri"/>
          <w:color w:val="000000" w:themeColor="text1"/>
          <w:kern w:val="0"/>
          <w:sz w:val="22"/>
          <w:szCs w:val="22"/>
        </w:rPr>
        <w:t>W</w:t>
      </w:r>
      <w:r w:rsidRPr="001115E6">
        <w:rPr>
          <w:rFonts w:cs="Calibri"/>
          <w:color w:val="000000" w:themeColor="text1"/>
          <w:kern w:val="0"/>
          <w:sz w:val="22"/>
          <w:szCs w:val="22"/>
        </w:rPr>
        <w:t xml:space="preserve">hom </w:t>
      </w:r>
      <w:r w:rsidR="00D36EBB" w:rsidRPr="001115E6">
        <w:rPr>
          <w:rFonts w:cs="Calibri"/>
          <w:color w:val="000000" w:themeColor="text1"/>
          <w:kern w:val="0"/>
          <w:sz w:val="22"/>
          <w:szCs w:val="22"/>
        </w:rPr>
        <w:t>I</w:t>
      </w:r>
      <w:r w:rsidRPr="001115E6">
        <w:rPr>
          <w:rFonts w:cs="Calibri"/>
          <w:color w:val="000000" w:themeColor="text1"/>
          <w:kern w:val="0"/>
          <w:sz w:val="22"/>
          <w:szCs w:val="22"/>
        </w:rPr>
        <w:t xml:space="preserve">t </w:t>
      </w:r>
      <w:r w:rsidR="00D36EBB" w:rsidRPr="001115E6">
        <w:rPr>
          <w:rFonts w:cs="Calibri"/>
          <w:color w:val="000000" w:themeColor="text1"/>
          <w:kern w:val="0"/>
          <w:sz w:val="22"/>
          <w:szCs w:val="22"/>
        </w:rPr>
        <w:t>M</w:t>
      </w:r>
      <w:r w:rsidRPr="001115E6">
        <w:rPr>
          <w:rFonts w:cs="Calibri"/>
          <w:color w:val="000000" w:themeColor="text1"/>
          <w:kern w:val="0"/>
          <w:sz w:val="22"/>
          <w:szCs w:val="22"/>
        </w:rPr>
        <w:t xml:space="preserve">ay </w:t>
      </w:r>
      <w:r w:rsidR="00D36EBB" w:rsidRPr="001115E6">
        <w:rPr>
          <w:rFonts w:cs="Calibri"/>
          <w:color w:val="000000" w:themeColor="text1"/>
          <w:kern w:val="0"/>
          <w:sz w:val="22"/>
          <w:szCs w:val="22"/>
        </w:rPr>
        <w:t>C</w:t>
      </w:r>
      <w:r w:rsidRPr="001115E6">
        <w:rPr>
          <w:rFonts w:cs="Calibri"/>
          <w:color w:val="000000" w:themeColor="text1"/>
          <w:kern w:val="0"/>
          <w:sz w:val="22"/>
          <w:szCs w:val="22"/>
        </w:rPr>
        <w:t xml:space="preserve">oncern, </w:t>
      </w:r>
    </w:p>
    <w:p w14:paraId="22FA74B6" w14:textId="77777777" w:rsidR="009A2A38" w:rsidRPr="001115E6" w:rsidRDefault="009A2A38" w:rsidP="009A2A38">
      <w:pPr>
        <w:spacing w:after="0" w:line="240" w:lineRule="auto"/>
        <w:rPr>
          <w:rFonts w:cs="Calibri"/>
          <w:color w:val="000000" w:themeColor="text1"/>
          <w:kern w:val="0"/>
          <w:sz w:val="22"/>
          <w:szCs w:val="22"/>
        </w:rPr>
      </w:pPr>
    </w:p>
    <w:p w14:paraId="252185EB" w14:textId="623C63E3" w:rsidR="0053673F" w:rsidRPr="001115E6" w:rsidRDefault="0053673F" w:rsidP="0053673F">
      <w:pPr>
        <w:spacing w:after="0" w:line="240" w:lineRule="auto"/>
        <w:rPr>
          <w:rFonts w:cs="Calibri"/>
          <w:color w:val="000000" w:themeColor="text1"/>
          <w:kern w:val="0"/>
          <w:sz w:val="22"/>
          <w:szCs w:val="22"/>
        </w:rPr>
      </w:pPr>
      <w:r w:rsidRPr="001115E6">
        <w:rPr>
          <w:rFonts w:cs="Calibri"/>
          <w:color w:val="000000" w:themeColor="text1"/>
          <w:kern w:val="0"/>
          <w:sz w:val="22"/>
          <w:szCs w:val="22"/>
        </w:rPr>
        <w:t xml:space="preserve">I am writing on behalf of </w:t>
      </w:r>
      <w:r w:rsidRPr="001115E6">
        <w:rPr>
          <w:rFonts w:cs="Calibri"/>
          <w:noProof/>
          <w:color w:val="000000" w:themeColor="text1"/>
          <w:sz w:val="22"/>
          <w:szCs w:val="22"/>
          <w:highlight w:val="yellow"/>
        </w:rPr>
        <w:t>[patient name]</w:t>
      </w:r>
      <w:r w:rsidRPr="001115E6">
        <w:rPr>
          <w:rFonts w:cs="Calibri"/>
          <w:color w:val="000000" w:themeColor="text1"/>
          <w:kern w:val="0"/>
          <w:sz w:val="22"/>
          <w:szCs w:val="22"/>
        </w:rPr>
        <w:t xml:space="preserve"> to formally request an appeal regarding the denial</w:t>
      </w:r>
      <w:r w:rsidR="00AB5209" w:rsidRPr="001115E6">
        <w:rPr>
          <w:rFonts w:cs="Calibri"/>
          <w:color w:val="000000" w:themeColor="text1"/>
          <w:kern w:val="0"/>
          <w:sz w:val="22"/>
          <w:szCs w:val="22"/>
        </w:rPr>
        <w:t xml:space="preserve"> of LIFYORLI + nab-paclitaxel</w:t>
      </w:r>
      <w:r w:rsidRPr="001115E6">
        <w:rPr>
          <w:rFonts w:cs="Calibri"/>
          <w:color w:val="000000" w:themeColor="text1"/>
          <w:kern w:val="0"/>
          <w:sz w:val="22"/>
          <w:szCs w:val="22"/>
        </w:rPr>
        <w:t xml:space="preserve"> issued on </w:t>
      </w:r>
      <w:r w:rsidRPr="001115E6">
        <w:rPr>
          <w:rFonts w:cs="Calibri"/>
          <w:noProof/>
          <w:color w:val="000000" w:themeColor="text1"/>
          <w:sz w:val="22"/>
          <w:szCs w:val="22"/>
          <w:highlight w:val="yellow"/>
        </w:rPr>
        <w:t>[date]</w:t>
      </w:r>
      <w:r w:rsidRPr="001115E6">
        <w:rPr>
          <w:rFonts w:cs="Calibri"/>
          <w:color w:val="000000" w:themeColor="text1"/>
          <w:kern w:val="0"/>
          <w:sz w:val="22"/>
          <w:szCs w:val="22"/>
        </w:rPr>
        <w:t xml:space="preserve">. The reason for the denial was </w:t>
      </w:r>
      <w:r w:rsidRPr="001115E6">
        <w:rPr>
          <w:rFonts w:cs="Calibri"/>
          <w:noProof/>
          <w:color w:val="000000" w:themeColor="text1"/>
          <w:sz w:val="22"/>
          <w:szCs w:val="22"/>
          <w:highlight w:val="yellow"/>
        </w:rPr>
        <w:t>[</w:t>
      </w:r>
      <w:r w:rsidR="002048AB" w:rsidRPr="001115E6">
        <w:rPr>
          <w:rFonts w:cs="Calibri"/>
          <w:noProof/>
          <w:color w:val="000000" w:themeColor="text1"/>
          <w:sz w:val="22"/>
          <w:szCs w:val="22"/>
          <w:highlight w:val="yellow"/>
        </w:rPr>
        <w:t>insert</w:t>
      </w:r>
      <w:r w:rsidRPr="001115E6">
        <w:rPr>
          <w:rFonts w:cs="Calibri"/>
          <w:color w:val="000000" w:themeColor="text1"/>
          <w:kern w:val="0"/>
          <w:sz w:val="22"/>
          <w:szCs w:val="22"/>
          <w:highlight w:val="yellow"/>
        </w:rPr>
        <w:t xml:space="preserve"> </w:t>
      </w:r>
      <w:r w:rsidRPr="001115E6">
        <w:rPr>
          <w:rFonts w:cs="Calibri"/>
          <w:noProof/>
          <w:color w:val="000000" w:themeColor="text1"/>
          <w:sz w:val="22"/>
          <w:szCs w:val="22"/>
          <w:highlight w:val="yellow"/>
        </w:rPr>
        <w:t>reason</w:t>
      </w:r>
      <w:r w:rsidR="002048AB" w:rsidRPr="001115E6">
        <w:rPr>
          <w:rFonts w:cs="Calibri"/>
          <w:noProof/>
          <w:color w:val="000000" w:themeColor="text1"/>
          <w:sz w:val="22"/>
          <w:szCs w:val="22"/>
          <w:highlight w:val="yellow"/>
        </w:rPr>
        <w:t>(s)</w:t>
      </w:r>
      <w:r w:rsidRPr="001115E6">
        <w:rPr>
          <w:rFonts w:cs="Calibri"/>
          <w:noProof/>
          <w:color w:val="000000" w:themeColor="text1"/>
          <w:sz w:val="22"/>
          <w:szCs w:val="22"/>
          <w:highlight w:val="yellow"/>
        </w:rPr>
        <w:t xml:space="preserve"> </w:t>
      </w:r>
      <w:r w:rsidR="002048AB" w:rsidRPr="001115E6">
        <w:rPr>
          <w:rFonts w:cs="Calibri"/>
          <w:noProof/>
          <w:color w:val="000000" w:themeColor="text1"/>
          <w:sz w:val="22"/>
          <w:szCs w:val="22"/>
          <w:highlight w:val="yellow"/>
        </w:rPr>
        <w:t>provided</w:t>
      </w:r>
      <w:r w:rsidRPr="001115E6">
        <w:rPr>
          <w:rFonts w:cs="Calibri"/>
          <w:noProof/>
          <w:color w:val="000000" w:themeColor="text1"/>
          <w:sz w:val="22"/>
          <w:szCs w:val="22"/>
          <w:highlight w:val="yellow"/>
        </w:rPr>
        <w:t xml:space="preserve"> in </w:t>
      </w:r>
      <w:r w:rsidR="002048AB" w:rsidRPr="001115E6">
        <w:rPr>
          <w:rFonts w:cs="Calibri"/>
          <w:noProof/>
          <w:color w:val="000000" w:themeColor="text1"/>
          <w:sz w:val="22"/>
          <w:szCs w:val="22"/>
          <w:highlight w:val="yellow"/>
        </w:rPr>
        <w:t xml:space="preserve">the </w:t>
      </w:r>
      <w:r w:rsidRPr="001115E6">
        <w:rPr>
          <w:rFonts w:cs="Calibri"/>
          <w:noProof/>
          <w:color w:val="000000" w:themeColor="text1"/>
          <w:sz w:val="22"/>
          <w:szCs w:val="22"/>
          <w:highlight w:val="yellow"/>
        </w:rPr>
        <w:t>denial letter]</w:t>
      </w:r>
      <w:r w:rsidRPr="001115E6">
        <w:rPr>
          <w:rFonts w:cs="Calibri"/>
          <w:color w:val="000000" w:themeColor="text1"/>
          <w:kern w:val="0"/>
          <w:sz w:val="22"/>
          <w:szCs w:val="22"/>
        </w:rPr>
        <w:t xml:space="preserve">. </w:t>
      </w:r>
    </w:p>
    <w:p w14:paraId="121B4331" w14:textId="77777777" w:rsidR="0053673F" w:rsidRPr="001115E6" w:rsidRDefault="0053673F" w:rsidP="0053673F">
      <w:pPr>
        <w:spacing w:after="0" w:line="240" w:lineRule="auto"/>
        <w:rPr>
          <w:rFonts w:cs="Calibri"/>
          <w:color w:val="000000" w:themeColor="text1"/>
          <w:kern w:val="0"/>
          <w:sz w:val="22"/>
          <w:szCs w:val="22"/>
        </w:rPr>
      </w:pPr>
    </w:p>
    <w:p w14:paraId="7E3D7718" w14:textId="41D0F599" w:rsidR="009A2A38" w:rsidRPr="001115E6" w:rsidRDefault="0053673F" w:rsidP="0053673F">
      <w:pPr>
        <w:spacing w:after="0" w:line="240" w:lineRule="auto"/>
        <w:rPr>
          <w:rFonts w:cs="Calibri"/>
          <w:color w:val="000000" w:themeColor="text1"/>
          <w:kern w:val="0"/>
          <w:sz w:val="22"/>
          <w:szCs w:val="22"/>
        </w:rPr>
      </w:pPr>
      <w:r w:rsidRPr="001115E6">
        <w:rPr>
          <w:rFonts w:cs="Calibri"/>
          <w:color w:val="000000" w:themeColor="text1"/>
          <w:kern w:val="0"/>
          <w:sz w:val="22"/>
          <w:szCs w:val="22"/>
        </w:rPr>
        <w:t xml:space="preserve">After reviewing the denial, I firmly believe that the combination of </w:t>
      </w:r>
      <w:r w:rsidR="00A63B93" w:rsidRPr="001115E6">
        <w:rPr>
          <w:rFonts w:cs="Calibri"/>
          <w:color w:val="000000" w:themeColor="text1"/>
          <w:kern w:val="0"/>
          <w:sz w:val="22"/>
          <w:szCs w:val="22"/>
        </w:rPr>
        <w:t>LIFYORLI</w:t>
      </w:r>
      <w:r w:rsidRPr="001115E6">
        <w:rPr>
          <w:rFonts w:cs="Calibri"/>
          <w:color w:val="FF40FF"/>
          <w:kern w:val="0"/>
          <w:sz w:val="22"/>
          <w:szCs w:val="22"/>
        </w:rPr>
        <w:t xml:space="preserve"> </w:t>
      </w:r>
      <w:r w:rsidR="00E059F0" w:rsidRPr="001115E6">
        <w:rPr>
          <w:rFonts w:cs="Calibri"/>
          <w:color w:val="000000" w:themeColor="text1"/>
          <w:kern w:val="0"/>
          <w:sz w:val="22"/>
          <w:szCs w:val="22"/>
        </w:rPr>
        <w:t>+</w:t>
      </w:r>
      <w:r w:rsidRPr="001115E6">
        <w:rPr>
          <w:rFonts w:cs="Calibri"/>
          <w:color w:val="000000" w:themeColor="text1"/>
          <w:kern w:val="0"/>
          <w:sz w:val="22"/>
          <w:szCs w:val="22"/>
        </w:rPr>
        <w:t xml:space="preserve"> nab-paclitaxel is the most appropriate treatment for this patient, and I have included documentation below to support my request for approval.</w:t>
      </w:r>
    </w:p>
    <w:p w14:paraId="0ED1A5CF" w14:textId="77777777" w:rsidR="0053673F" w:rsidRPr="001115E6" w:rsidRDefault="0053673F" w:rsidP="0053673F">
      <w:pPr>
        <w:spacing w:after="0" w:line="240" w:lineRule="auto"/>
        <w:rPr>
          <w:rFonts w:cs="Calibri"/>
          <w:color w:val="000000" w:themeColor="text1"/>
          <w:kern w:val="0"/>
          <w:sz w:val="22"/>
          <w:szCs w:val="22"/>
        </w:rPr>
      </w:pPr>
    </w:p>
    <w:p w14:paraId="77EF46EB" w14:textId="77777777" w:rsidR="009A2A38" w:rsidRPr="001115E6" w:rsidRDefault="009A2A38" w:rsidP="009A2A38">
      <w:pPr>
        <w:spacing w:after="0" w:line="240" w:lineRule="auto"/>
        <w:rPr>
          <w:rFonts w:cs="Calibri"/>
          <w:b/>
          <w:color w:val="000000" w:themeColor="text1"/>
          <w:sz w:val="22"/>
          <w:szCs w:val="22"/>
        </w:rPr>
      </w:pPr>
      <w:r w:rsidRPr="001115E6">
        <w:rPr>
          <w:rFonts w:cs="Calibri"/>
          <w:b/>
          <w:color w:val="000000" w:themeColor="text1"/>
          <w:sz w:val="22"/>
          <w:szCs w:val="22"/>
        </w:rPr>
        <w:t>Diagnosis</w:t>
      </w:r>
    </w:p>
    <w:p w14:paraId="6562D15C" w14:textId="1B37E9B4" w:rsidR="00F65BAF" w:rsidRPr="001115E6" w:rsidRDefault="009A2A38" w:rsidP="009A2A38">
      <w:pPr>
        <w:spacing w:after="0" w:line="240" w:lineRule="auto"/>
        <w:rPr>
          <w:rFonts w:cs="Calibri"/>
          <w:bCs/>
          <w:color w:val="000000" w:themeColor="text1"/>
          <w:sz w:val="22"/>
          <w:szCs w:val="22"/>
        </w:rPr>
      </w:pPr>
      <w:r w:rsidRPr="001115E6">
        <w:rPr>
          <w:rFonts w:cs="Calibri"/>
          <w:noProof/>
          <w:color w:val="000000" w:themeColor="text1"/>
          <w:sz w:val="22"/>
          <w:szCs w:val="22"/>
          <w:highlight w:val="yellow"/>
        </w:rPr>
        <w:t>[Patient name]</w:t>
      </w:r>
      <w:r w:rsidRPr="001115E6">
        <w:rPr>
          <w:rFonts w:cs="Calibri"/>
          <w:b/>
          <w:color w:val="000000" w:themeColor="text1"/>
          <w:sz w:val="22"/>
          <w:szCs w:val="22"/>
        </w:rPr>
        <w:t xml:space="preserve"> </w:t>
      </w:r>
      <w:r w:rsidRPr="001115E6">
        <w:rPr>
          <w:rFonts w:cs="Calibri"/>
          <w:bCs/>
          <w:color w:val="000000" w:themeColor="text1"/>
          <w:sz w:val="22"/>
          <w:szCs w:val="22"/>
        </w:rPr>
        <w:t xml:space="preserve">was diagnosed with platinum-resistant ovarian cancer </w:t>
      </w:r>
      <w:r w:rsidR="00F65BAF" w:rsidRPr="001115E6">
        <w:rPr>
          <w:rFonts w:cs="Calibri"/>
          <w:bCs/>
          <w:color w:val="000000" w:themeColor="text1"/>
          <w:sz w:val="22"/>
          <w:szCs w:val="22"/>
        </w:rPr>
        <w:t xml:space="preserve">on </w:t>
      </w:r>
      <w:r w:rsidR="00F65BAF" w:rsidRPr="001115E6">
        <w:rPr>
          <w:rFonts w:cs="Calibri"/>
          <w:bCs/>
          <w:color w:val="000000" w:themeColor="text1"/>
          <w:sz w:val="22"/>
          <w:szCs w:val="22"/>
          <w:highlight w:val="yellow"/>
        </w:rPr>
        <w:t>[date]</w:t>
      </w:r>
      <w:r w:rsidR="00F65BAF" w:rsidRPr="001115E6">
        <w:rPr>
          <w:rFonts w:cs="Calibri"/>
          <w:bCs/>
          <w:color w:val="000000" w:themeColor="text1"/>
          <w:sz w:val="22"/>
          <w:szCs w:val="22"/>
        </w:rPr>
        <w:t xml:space="preserve">. </w:t>
      </w:r>
    </w:p>
    <w:p w14:paraId="576597C4" w14:textId="0EA79BA4" w:rsidR="00843208" w:rsidRDefault="009A2A38" w:rsidP="00843208">
      <w:pPr>
        <w:pStyle w:val="ListParagraph"/>
        <w:numPr>
          <w:ilvl w:val="0"/>
          <w:numId w:val="4"/>
        </w:numPr>
        <w:spacing w:after="0" w:line="240" w:lineRule="auto"/>
        <w:rPr>
          <w:rFonts w:cs="Calibri"/>
          <w:bCs/>
          <w:color w:val="000000" w:themeColor="text1"/>
          <w:sz w:val="22"/>
          <w:szCs w:val="22"/>
        </w:rPr>
      </w:pPr>
      <w:r w:rsidRPr="001115E6">
        <w:rPr>
          <w:rFonts w:cs="Calibri"/>
          <w:bCs/>
          <w:color w:val="000000" w:themeColor="text1"/>
          <w:sz w:val="22"/>
          <w:szCs w:val="22"/>
        </w:rPr>
        <w:t>ICD-10-CM code</w:t>
      </w:r>
      <w:r w:rsidR="00072D16" w:rsidRPr="001115E6">
        <w:rPr>
          <w:rFonts w:cs="Calibri"/>
          <w:bCs/>
          <w:color w:val="000000" w:themeColor="text1"/>
          <w:sz w:val="22"/>
          <w:szCs w:val="22"/>
        </w:rPr>
        <w:t>(s)</w:t>
      </w:r>
      <w:r w:rsidRPr="001115E6">
        <w:rPr>
          <w:rFonts w:cs="Calibri"/>
          <w:bCs/>
          <w:color w:val="000000" w:themeColor="text1"/>
          <w:sz w:val="22"/>
          <w:szCs w:val="22"/>
        </w:rPr>
        <w:t xml:space="preserve">: </w:t>
      </w:r>
      <w:r w:rsidRPr="001115E6">
        <w:rPr>
          <w:rFonts w:cs="Calibri"/>
          <w:bCs/>
          <w:color w:val="000000" w:themeColor="text1"/>
          <w:sz w:val="22"/>
          <w:szCs w:val="22"/>
          <w:highlight w:val="yellow"/>
        </w:rPr>
        <w:t>[insert ICD-10-CM code</w:t>
      </w:r>
      <w:r w:rsidR="00072D16" w:rsidRPr="001115E6">
        <w:rPr>
          <w:rFonts w:cs="Calibri"/>
          <w:bCs/>
          <w:color w:val="000000" w:themeColor="text1"/>
          <w:sz w:val="22"/>
          <w:szCs w:val="22"/>
          <w:highlight w:val="yellow"/>
        </w:rPr>
        <w:t>(</w:t>
      </w:r>
      <w:r w:rsidRPr="001115E6">
        <w:rPr>
          <w:rFonts w:cs="Calibri"/>
          <w:bCs/>
          <w:color w:val="000000" w:themeColor="text1"/>
          <w:sz w:val="22"/>
          <w:szCs w:val="22"/>
          <w:highlight w:val="yellow"/>
        </w:rPr>
        <w:t>s</w:t>
      </w:r>
      <w:r w:rsidRPr="00C3129D">
        <w:rPr>
          <w:rFonts w:cs="Calibri"/>
          <w:bCs/>
          <w:color w:val="000000" w:themeColor="text1"/>
          <w:sz w:val="22"/>
          <w:szCs w:val="22"/>
          <w:highlight w:val="yellow"/>
        </w:rPr>
        <w:t>)</w:t>
      </w:r>
      <w:r w:rsidR="001D0C83" w:rsidRPr="00C3129D">
        <w:rPr>
          <w:rFonts w:cs="Calibri"/>
          <w:bCs/>
          <w:color w:val="000000" w:themeColor="text1"/>
          <w:sz w:val="22"/>
          <w:szCs w:val="22"/>
          <w:highlight w:val="yellow"/>
        </w:rPr>
        <w:t xml:space="preserve"> </w:t>
      </w:r>
      <w:r w:rsidR="00843208" w:rsidRPr="00635A6E">
        <w:rPr>
          <w:rFonts w:cs="Calibri"/>
          <w:bCs/>
          <w:color w:val="000000" w:themeColor="text1"/>
          <w:sz w:val="22"/>
          <w:szCs w:val="22"/>
          <w:highlight w:val="yellow"/>
        </w:rPr>
        <w:t>for epithelial ovarian, fallopian tube, or primary peritoneal cancer]</w:t>
      </w:r>
    </w:p>
    <w:p w14:paraId="4F8BB3D3" w14:textId="6123B244" w:rsidR="00626153" w:rsidRPr="00C3129D" w:rsidRDefault="00633432" w:rsidP="00626153">
      <w:pPr>
        <w:pStyle w:val="ListParagraph"/>
        <w:numPr>
          <w:ilvl w:val="0"/>
          <w:numId w:val="4"/>
        </w:numPr>
        <w:spacing w:after="0" w:line="240" w:lineRule="auto"/>
        <w:rPr>
          <w:rFonts w:cs="Calibri"/>
          <w:b/>
          <w:color w:val="000000" w:themeColor="text1"/>
          <w:sz w:val="22"/>
          <w:szCs w:val="22"/>
        </w:rPr>
      </w:pPr>
      <w:r w:rsidRPr="00C3129D">
        <w:rPr>
          <w:rFonts w:cs="Calibri"/>
          <w:bCs/>
          <w:color w:val="000000" w:themeColor="text1"/>
          <w:sz w:val="22"/>
          <w:szCs w:val="22"/>
          <w:highlight w:val="yellow"/>
        </w:rPr>
        <w:t>[</w:t>
      </w:r>
      <w:r w:rsidR="00626153" w:rsidRPr="00C3129D">
        <w:rPr>
          <w:rFonts w:cs="Calibri"/>
          <w:bCs/>
          <w:color w:val="000000" w:themeColor="text1"/>
          <w:sz w:val="22"/>
          <w:szCs w:val="22"/>
          <w:highlight w:val="yellow"/>
        </w:rPr>
        <w:t>Call out platinum-resistant ovarian cancer diagnosis</w:t>
      </w:r>
      <w:r w:rsidRPr="00635A6E">
        <w:rPr>
          <w:rFonts w:cs="Calibri"/>
          <w:bCs/>
          <w:color w:val="000000" w:themeColor="text1"/>
          <w:sz w:val="22"/>
          <w:szCs w:val="22"/>
          <w:highlight w:val="yellow"/>
        </w:rPr>
        <w:t>]</w:t>
      </w:r>
    </w:p>
    <w:p w14:paraId="30739D88" w14:textId="77777777" w:rsidR="009A2A38" w:rsidRPr="00626153" w:rsidRDefault="009A2A38" w:rsidP="00635A6E"/>
    <w:p w14:paraId="5E6F33AF" w14:textId="372F69AD" w:rsidR="009A2A38" w:rsidRPr="001115E6" w:rsidRDefault="009A2A38" w:rsidP="009A2A38">
      <w:pPr>
        <w:spacing w:after="0" w:line="240" w:lineRule="auto"/>
        <w:rPr>
          <w:rFonts w:cs="Calibri"/>
          <w:b/>
          <w:color w:val="000000" w:themeColor="text1"/>
          <w:sz w:val="22"/>
          <w:szCs w:val="22"/>
        </w:rPr>
      </w:pPr>
      <w:r w:rsidRPr="001115E6">
        <w:rPr>
          <w:rFonts w:cs="Calibri"/>
          <w:b/>
          <w:color w:val="000000" w:themeColor="text1"/>
          <w:sz w:val="22"/>
          <w:szCs w:val="22"/>
        </w:rPr>
        <w:t>Prior therapy and disease progression</w:t>
      </w:r>
    </w:p>
    <w:p w14:paraId="6B1EB323" w14:textId="1A086DBF" w:rsidR="009A2A38" w:rsidRPr="001115E6" w:rsidRDefault="009A2A38" w:rsidP="009A2A38">
      <w:pPr>
        <w:pStyle w:val="ListParagraph"/>
        <w:numPr>
          <w:ilvl w:val="0"/>
          <w:numId w:val="2"/>
        </w:numPr>
        <w:spacing w:after="0" w:line="240" w:lineRule="auto"/>
        <w:rPr>
          <w:rFonts w:cs="Calibri"/>
          <w:b/>
          <w:color w:val="000000" w:themeColor="text1"/>
          <w:sz w:val="22"/>
          <w:szCs w:val="22"/>
        </w:rPr>
      </w:pPr>
      <w:r w:rsidRPr="001115E6">
        <w:rPr>
          <w:rFonts w:cs="Calibri"/>
          <w:b/>
          <w:color w:val="000000" w:themeColor="text1"/>
          <w:sz w:val="22"/>
          <w:szCs w:val="22"/>
        </w:rPr>
        <w:t>Severity of patient’s condition</w:t>
      </w:r>
      <w:r w:rsidR="003C078A" w:rsidRPr="001115E6">
        <w:rPr>
          <w:rFonts w:cs="Calibri"/>
          <w:b/>
          <w:color w:val="000000" w:themeColor="text1"/>
          <w:sz w:val="22"/>
          <w:szCs w:val="22"/>
        </w:rPr>
        <w:t>:</w:t>
      </w:r>
      <w:r w:rsidRPr="001115E6">
        <w:rPr>
          <w:rFonts w:cs="Calibri"/>
          <w:bCs/>
          <w:color w:val="000000" w:themeColor="text1"/>
          <w:sz w:val="22"/>
          <w:szCs w:val="22"/>
        </w:rPr>
        <w:t xml:space="preserve"> </w:t>
      </w:r>
      <w:r w:rsidR="003C078A" w:rsidRPr="001115E6">
        <w:rPr>
          <w:rFonts w:cs="Calibri"/>
          <w:noProof/>
          <w:color w:val="000000" w:themeColor="text1"/>
          <w:sz w:val="22"/>
          <w:szCs w:val="22"/>
          <w:highlight w:val="yellow"/>
        </w:rPr>
        <w:t xml:space="preserve">[eg, </w:t>
      </w:r>
      <w:r w:rsidRPr="001115E6">
        <w:rPr>
          <w:rFonts w:cs="Calibri"/>
          <w:noProof/>
          <w:color w:val="000000" w:themeColor="text1"/>
          <w:sz w:val="22"/>
          <w:szCs w:val="22"/>
          <w:highlight w:val="yellow"/>
        </w:rPr>
        <w:t>clinical outcomes measures, pathology reports, ECOG performance status</w:t>
      </w:r>
      <w:r w:rsidR="009F397E" w:rsidRPr="001115E6">
        <w:rPr>
          <w:rFonts w:cs="Calibri"/>
          <w:noProof/>
          <w:color w:val="000000" w:themeColor="text1"/>
          <w:sz w:val="22"/>
          <w:szCs w:val="22"/>
          <w:highlight w:val="yellow"/>
        </w:rPr>
        <w:t>]</w:t>
      </w:r>
    </w:p>
    <w:p w14:paraId="13CB3B81" w14:textId="3F4FF8EB" w:rsidR="009A2A38" w:rsidRPr="001115E6" w:rsidRDefault="009A2A38" w:rsidP="009A2A38">
      <w:pPr>
        <w:pStyle w:val="ListParagraph"/>
        <w:numPr>
          <w:ilvl w:val="0"/>
          <w:numId w:val="2"/>
        </w:numPr>
        <w:spacing w:after="0" w:line="240" w:lineRule="auto"/>
        <w:rPr>
          <w:rFonts w:cs="Calibri"/>
          <w:b/>
          <w:color w:val="000000" w:themeColor="text1"/>
          <w:sz w:val="22"/>
          <w:szCs w:val="22"/>
        </w:rPr>
      </w:pPr>
      <w:r w:rsidRPr="001115E6">
        <w:rPr>
          <w:rFonts w:cs="Calibri"/>
          <w:b/>
          <w:color w:val="000000" w:themeColor="text1"/>
          <w:sz w:val="22"/>
          <w:szCs w:val="22"/>
        </w:rPr>
        <w:t>Previous treatments</w:t>
      </w:r>
      <w:r w:rsidR="003C078A" w:rsidRPr="001115E6">
        <w:rPr>
          <w:rFonts w:cs="Calibri"/>
          <w:b/>
          <w:color w:val="000000" w:themeColor="text1"/>
          <w:sz w:val="22"/>
          <w:szCs w:val="22"/>
        </w:rPr>
        <w:t>:</w:t>
      </w:r>
      <w:r w:rsidRPr="001115E6">
        <w:rPr>
          <w:rFonts w:cs="Calibri"/>
          <w:b/>
          <w:color w:val="000000" w:themeColor="text1"/>
          <w:sz w:val="22"/>
          <w:szCs w:val="22"/>
        </w:rPr>
        <w:t xml:space="preserve"> </w:t>
      </w:r>
      <w:r w:rsidR="003C078A" w:rsidRPr="001115E6">
        <w:rPr>
          <w:rFonts w:cs="Calibri"/>
          <w:noProof/>
          <w:color w:val="000000" w:themeColor="text1"/>
          <w:sz w:val="22"/>
          <w:szCs w:val="22"/>
          <w:highlight w:val="yellow"/>
        </w:rPr>
        <w:t>[</w:t>
      </w:r>
      <w:r w:rsidR="001D0C83" w:rsidRPr="00843208">
        <w:rPr>
          <w:rFonts w:cs="Calibri"/>
          <w:bCs/>
          <w:color w:val="000000" w:themeColor="text1"/>
          <w:sz w:val="22"/>
          <w:szCs w:val="22"/>
          <w:highlight w:val="yellow"/>
        </w:rPr>
        <w:t>a detailed list of 1-3 prior systemic treatments</w:t>
      </w:r>
      <w:r w:rsidR="00423541" w:rsidRPr="009A2D68">
        <w:rPr>
          <w:rFonts w:cs="Calibri"/>
          <w:bCs/>
          <w:color w:val="000000" w:themeColor="text1"/>
          <w:sz w:val="22"/>
          <w:szCs w:val="22"/>
          <w:highlight w:val="yellow"/>
        </w:rPr>
        <w:t>,</w:t>
      </w:r>
      <w:r w:rsidR="001D0C83" w:rsidRPr="009A2D68">
        <w:rPr>
          <w:rFonts w:cs="Calibri"/>
          <w:bCs/>
          <w:color w:val="000000" w:themeColor="text1"/>
          <w:sz w:val="22"/>
          <w:szCs w:val="22"/>
          <w:highlight w:val="yellow"/>
        </w:rPr>
        <w:t xml:space="preserve"> </w:t>
      </w:r>
      <w:r w:rsidR="00B01CC0" w:rsidRPr="009A2D68">
        <w:rPr>
          <w:color w:val="000000" w:themeColor="text1"/>
          <w:sz w:val="22"/>
          <w:szCs w:val="22"/>
          <w:highlight w:val="yellow"/>
        </w:rPr>
        <w:t>at least one of which included</w:t>
      </w:r>
      <w:r w:rsidR="00843208" w:rsidRPr="009A2D68">
        <w:rPr>
          <w:rFonts w:cs="Calibri"/>
          <w:bCs/>
          <w:color w:val="000000" w:themeColor="text1"/>
          <w:sz w:val="21"/>
          <w:szCs w:val="21"/>
          <w:highlight w:val="yellow"/>
        </w:rPr>
        <w:t xml:space="preserve"> </w:t>
      </w:r>
      <w:r w:rsidR="00843208" w:rsidRPr="00A22075">
        <w:rPr>
          <w:rFonts w:cs="Calibri"/>
          <w:bCs/>
          <w:color w:val="000000" w:themeColor="text1"/>
          <w:sz w:val="22"/>
          <w:szCs w:val="22"/>
          <w:highlight w:val="yellow"/>
        </w:rPr>
        <w:t>bevacizumab unless patient has intolerance. Specify</w:t>
      </w:r>
      <w:r w:rsidR="001D0C83" w:rsidRPr="00843208">
        <w:rPr>
          <w:rFonts w:cs="Calibri"/>
          <w:bCs/>
          <w:color w:val="000000" w:themeColor="text1"/>
          <w:sz w:val="22"/>
          <w:szCs w:val="22"/>
          <w:highlight w:val="yellow"/>
        </w:rPr>
        <w:t xml:space="preserve"> </w:t>
      </w:r>
      <w:r w:rsidRPr="001115E6">
        <w:rPr>
          <w:rFonts w:cs="Calibri"/>
          <w:noProof/>
          <w:color w:val="000000" w:themeColor="text1"/>
          <w:sz w:val="22"/>
          <w:szCs w:val="22"/>
          <w:highlight w:val="yellow"/>
        </w:rPr>
        <w:t>drug names and duration, responses to those treatments, and reason for discontinuation</w:t>
      </w:r>
      <w:r w:rsidR="003C078A" w:rsidRPr="001115E6">
        <w:rPr>
          <w:rFonts w:cs="Calibri"/>
          <w:noProof/>
          <w:color w:val="000000" w:themeColor="text1"/>
          <w:sz w:val="22"/>
          <w:szCs w:val="22"/>
          <w:highlight w:val="yellow"/>
        </w:rPr>
        <w:t>]</w:t>
      </w:r>
    </w:p>
    <w:p w14:paraId="76B68C04" w14:textId="7A89B838" w:rsidR="009A2A38" w:rsidRPr="001115E6" w:rsidRDefault="009A2A38" w:rsidP="009A2A38">
      <w:pPr>
        <w:pStyle w:val="ListParagraph"/>
        <w:numPr>
          <w:ilvl w:val="0"/>
          <w:numId w:val="1"/>
        </w:numPr>
        <w:spacing w:after="0" w:line="240" w:lineRule="auto"/>
        <w:rPr>
          <w:rFonts w:cs="Calibri"/>
          <w:bCs/>
          <w:iCs/>
          <w:color w:val="000000" w:themeColor="text1"/>
          <w:sz w:val="22"/>
          <w:szCs w:val="22"/>
        </w:rPr>
      </w:pPr>
      <w:r w:rsidRPr="001115E6">
        <w:rPr>
          <w:rFonts w:cs="Calibri"/>
          <w:b/>
          <w:color w:val="000000" w:themeColor="text1"/>
          <w:sz w:val="22"/>
          <w:szCs w:val="22"/>
        </w:rPr>
        <w:t>Patient’s disease progression</w:t>
      </w:r>
      <w:r w:rsidR="003C078A" w:rsidRPr="001115E6">
        <w:rPr>
          <w:rFonts w:cs="Calibri"/>
          <w:b/>
          <w:color w:val="000000" w:themeColor="text1"/>
          <w:sz w:val="22"/>
          <w:szCs w:val="22"/>
        </w:rPr>
        <w:t>:</w:t>
      </w:r>
      <w:r w:rsidRPr="001115E6">
        <w:rPr>
          <w:rFonts w:cs="Calibri"/>
          <w:bCs/>
          <w:color w:val="000000" w:themeColor="text1"/>
          <w:sz w:val="22"/>
          <w:szCs w:val="22"/>
        </w:rPr>
        <w:t xml:space="preserve"> </w:t>
      </w:r>
      <w:r w:rsidR="009F397E" w:rsidRPr="001115E6">
        <w:rPr>
          <w:rFonts w:cs="Calibri"/>
          <w:noProof/>
          <w:color w:val="000000" w:themeColor="text1"/>
          <w:sz w:val="22"/>
          <w:szCs w:val="22"/>
          <w:highlight w:val="yellow"/>
        </w:rPr>
        <w:t>[</w:t>
      </w:r>
      <w:r w:rsidR="005D17BA" w:rsidRPr="001115E6">
        <w:rPr>
          <w:rFonts w:cs="Calibri"/>
          <w:noProof/>
          <w:color w:val="000000" w:themeColor="text1"/>
          <w:sz w:val="22"/>
          <w:szCs w:val="22"/>
          <w:highlight w:val="yellow"/>
        </w:rPr>
        <w:t>eg</w:t>
      </w:r>
      <w:r w:rsidR="003C078A" w:rsidRPr="001115E6">
        <w:rPr>
          <w:rFonts w:cs="Calibri"/>
          <w:noProof/>
          <w:color w:val="000000" w:themeColor="text1"/>
          <w:sz w:val="22"/>
          <w:szCs w:val="22"/>
          <w:highlight w:val="yellow"/>
        </w:rPr>
        <w:t>,</w:t>
      </w:r>
      <w:r w:rsidRPr="001115E6">
        <w:rPr>
          <w:rFonts w:cs="Calibri"/>
          <w:noProof/>
          <w:color w:val="000000" w:themeColor="text1"/>
          <w:sz w:val="22"/>
          <w:szCs w:val="22"/>
          <w:highlight w:val="yellow"/>
        </w:rPr>
        <w:t xml:space="preserve"> proof of platinum</w:t>
      </w:r>
      <w:r w:rsidR="00A32A13" w:rsidRPr="001115E6">
        <w:rPr>
          <w:rFonts w:cs="Calibri"/>
          <w:noProof/>
          <w:color w:val="000000" w:themeColor="text1"/>
          <w:sz w:val="22"/>
          <w:szCs w:val="22"/>
          <w:highlight w:val="yellow"/>
        </w:rPr>
        <w:t xml:space="preserve"> </w:t>
      </w:r>
      <w:r w:rsidRPr="001115E6">
        <w:rPr>
          <w:rFonts w:cs="Calibri"/>
          <w:noProof/>
          <w:color w:val="000000" w:themeColor="text1"/>
          <w:sz w:val="22"/>
          <w:szCs w:val="22"/>
          <w:highlight w:val="yellow"/>
        </w:rPr>
        <w:t xml:space="preserve">resistance, defined as disease progression </w:t>
      </w:r>
      <w:r w:rsidR="00B75E83" w:rsidRPr="001115E6">
        <w:rPr>
          <w:rFonts w:cs="Calibri"/>
          <w:noProof/>
          <w:color w:val="000000" w:themeColor="text1"/>
          <w:sz w:val="22"/>
          <w:szCs w:val="22"/>
          <w:highlight w:val="yellow"/>
        </w:rPr>
        <w:t>≤</w:t>
      </w:r>
      <w:r w:rsidRPr="001115E6">
        <w:rPr>
          <w:rFonts w:cs="Calibri"/>
          <w:noProof/>
          <w:color w:val="000000" w:themeColor="text1"/>
          <w:sz w:val="22"/>
          <w:szCs w:val="22"/>
          <w:highlight w:val="yellow"/>
        </w:rPr>
        <w:t>6 months from completion of platinum-containing therapy</w:t>
      </w:r>
      <w:r w:rsidR="009F397E" w:rsidRPr="001115E6">
        <w:rPr>
          <w:rFonts w:cs="Calibri"/>
          <w:noProof/>
          <w:color w:val="000000" w:themeColor="text1"/>
          <w:sz w:val="22"/>
          <w:szCs w:val="22"/>
          <w:highlight w:val="yellow"/>
        </w:rPr>
        <w:t>]</w:t>
      </w:r>
    </w:p>
    <w:p w14:paraId="54267295" w14:textId="32CCDE2D" w:rsidR="009A2A38" w:rsidRPr="001115E6" w:rsidRDefault="009A2A38" w:rsidP="009A2A38">
      <w:pPr>
        <w:pStyle w:val="ListParagraph"/>
        <w:numPr>
          <w:ilvl w:val="0"/>
          <w:numId w:val="1"/>
        </w:numPr>
        <w:spacing w:after="0" w:line="240" w:lineRule="auto"/>
        <w:rPr>
          <w:rFonts w:cs="Calibri"/>
          <w:bCs/>
          <w:iCs/>
          <w:color w:val="000000" w:themeColor="text1"/>
          <w:sz w:val="22"/>
          <w:szCs w:val="22"/>
        </w:rPr>
      </w:pPr>
      <w:r w:rsidRPr="001115E6">
        <w:rPr>
          <w:rFonts w:cs="Calibri"/>
          <w:b/>
          <w:iCs/>
          <w:color w:val="000000" w:themeColor="text1"/>
          <w:sz w:val="22"/>
          <w:szCs w:val="22"/>
        </w:rPr>
        <w:t>Other relevant medical history</w:t>
      </w:r>
      <w:r w:rsidR="003C078A" w:rsidRPr="001115E6">
        <w:rPr>
          <w:rFonts w:cs="Calibri"/>
          <w:b/>
          <w:iCs/>
          <w:color w:val="000000" w:themeColor="text1"/>
          <w:sz w:val="22"/>
          <w:szCs w:val="22"/>
        </w:rPr>
        <w:t>:</w:t>
      </w:r>
      <w:r w:rsidRPr="001115E6">
        <w:rPr>
          <w:rFonts w:cs="Calibri"/>
          <w:bCs/>
          <w:iCs/>
          <w:color w:val="000000" w:themeColor="text1"/>
          <w:sz w:val="22"/>
          <w:szCs w:val="22"/>
        </w:rPr>
        <w:t xml:space="preserve"> </w:t>
      </w:r>
      <w:r w:rsidR="003C078A" w:rsidRPr="001115E6">
        <w:rPr>
          <w:rFonts w:cs="Calibri"/>
          <w:noProof/>
          <w:color w:val="000000" w:themeColor="text1"/>
          <w:sz w:val="22"/>
          <w:szCs w:val="22"/>
          <w:highlight w:val="yellow"/>
        </w:rPr>
        <w:t>[include</w:t>
      </w:r>
      <w:r w:rsidRPr="001115E6">
        <w:rPr>
          <w:rFonts w:cs="Calibri"/>
          <w:noProof/>
          <w:color w:val="000000" w:themeColor="text1"/>
          <w:sz w:val="22"/>
          <w:szCs w:val="22"/>
          <w:highlight w:val="yellow"/>
        </w:rPr>
        <w:t xml:space="preserve"> </w:t>
      </w:r>
      <w:r w:rsidR="003C078A" w:rsidRPr="001115E6">
        <w:rPr>
          <w:rFonts w:cs="Calibri"/>
          <w:noProof/>
          <w:color w:val="000000" w:themeColor="text1"/>
          <w:sz w:val="22"/>
          <w:szCs w:val="22"/>
          <w:highlight w:val="yellow"/>
        </w:rPr>
        <w:t xml:space="preserve">information such as </w:t>
      </w:r>
      <w:r w:rsidRPr="001115E6">
        <w:rPr>
          <w:rFonts w:cs="Calibri"/>
          <w:noProof/>
          <w:color w:val="000000" w:themeColor="text1"/>
          <w:sz w:val="22"/>
          <w:szCs w:val="22"/>
          <w:highlight w:val="yellow"/>
        </w:rPr>
        <w:t>histologic confirmation of diagnosis, intolerance to other approved therapies</w:t>
      </w:r>
      <w:r w:rsidR="001D0C83" w:rsidRPr="001115E6">
        <w:rPr>
          <w:rFonts w:cs="Calibri"/>
          <w:noProof/>
          <w:color w:val="000000" w:themeColor="text1"/>
          <w:sz w:val="22"/>
          <w:szCs w:val="22"/>
          <w:highlight w:val="yellow"/>
        </w:rPr>
        <w:t xml:space="preserve"> </w:t>
      </w:r>
      <w:r w:rsidR="001D0C83" w:rsidRPr="00843208">
        <w:rPr>
          <w:rFonts w:cs="Calibri"/>
          <w:bCs/>
          <w:iCs/>
          <w:color w:val="000000" w:themeColor="text1"/>
          <w:sz w:val="22"/>
          <w:szCs w:val="22"/>
          <w:highlight w:val="yellow"/>
        </w:rPr>
        <w:t>(eg, bevacizumab)</w:t>
      </w:r>
      <w:r w:rsidRPr="001115E6">
        <w:rPr>
          <w:rFonts w:cs="Calibri"/>
          <w:noProof/>
          <w:color w:val="000000" w:themeColor="text1"/>
          <w:sz w:val="22"/>
          <w:szCs w:val="22"/>
          <w:highlight w:val="yellow"/>
        </w:rPr>
        <w:t>, other factors impacting treatment</w:t>
      </w:r>
      <w:r w:rsidR="009F397E" w:rsidRPr="001115E6">
        <w:rPr>
          <w:rFonts w:cs="Calibri"/>
          <w:noProof/>
          <w:color w:val="000000" w:themeColor="text1"/>
          <w:sz w:val="22"/>
          <w:szCs w:val="22"/>
          <w:highlight w:val="yellow"/>
        </w:rPr>
        <w:t>]</w:t>
      </w:r>
    </w:p>
    <w:p w14:paraId="6206A501" w14:textId="77777777" w:rsidR="009A2A38" w:rsidRPr="001115E6" w:rsidRDefault="009A2A38" w:rsidP="009A2A38">
      <w:pPr>
        <w:spacing w:after="0" w:line="240" w:lineRule="auto"/>
        <w:rPr>
          <w:rFonts w:cs="Calibri"/>
          <w:b/>
          <w:bCs/>
          <w:color w:val="000000" w:themeColor="text1"/>
          <w:kern w:val="0"/>
        </w:rPr>
      </w:pPr>
    </w:p>
    <w:p w14:paraId="53026F41" w14:textId="77777777" w:rsidR="00C91410" w:rsidRPr="001115E6" w:rsidRDefault="00C91410">
      <w:pPr>
        <w:rPr>
          <w:rFonts w:cs="Calibri"/>
          <w:b/>
          <w:bCs/>
          <w:color w:val="000000" w:themeColor="text1"/>
          <w:kern w:val="0"/>
        </w:rPr>
      </w:pPr>
      <w:r w:rsidRPr="001115E6">
        <w:rPr>
          <w:rFonts w:cs="Calibri"/>
          <w:b/>
          <w:bCs/>
          <w:color w:val="000000" w:themeColor="text1"/>
          <w:kern w:val="0"/>
        </w:rPr>
        <w:br w:type="page"/>
      </w:r>
    </w:p>
    <w:p w14:paraId="17516F50" w14:textId="41F71057" w:rsidR="009A2D68" w:rsidRDefault="009A2D68" w:rsidP="009A2A38">
      <w:pPr>
        <w:spacing w:after="0" w:line="240" w:lineRule="auto"/>
        <w:rPr>
          <w:rFonts w:cs="Calibri"/>
          <w:b/>
          <w:bCs/>
          <w:color w:val="000000" w:themeColor="text1"/>
          <w:kern w:val="0"/>
          <w:sz w:val="22"/>
          <w:szCs w:val="22"/>
        </w:rPr>
      </w:pPr>
    </w:p>
    <w:p w14:paraId="6ECA0A99" w14:textId="77777777" w:rsidR="009A2D68" w:rsidRDefault="009A2D68" w:rsidP="009A2A38">
      <w:pPr>
        <w:spacing w:after="0" w:line="240" w:lineRule="auto"/>
        <w:rPr>
          <w:rFonts w:cs="Calibri"/>
          <w:b/>
          <w:bCs/>
          <w:color w:val="000000" w:themeColor="text1"/>
          <w:kern w:val="0"/>
          <w:sz w:val="22"/>
          <w:szCs w:val="22"/>
        </w:rPr>
      </w:pPr>
    </w:p>
    <w:p w14:paraId="53255EE6" w14:textId="77777777" w:rsidR="003C5B2A" w:rsidRDefault="003C5B2A" w:rsidP="009A2A38">
      <w:pPr>
        <w:spacing w:after="0" w:line="240" w:lineRule="auto"/>
        <w:rPr>
          <w:rFonts w:cs="Calibri"/>
          <w:b/>
          <w:bCs/>
          <w:color w:val="000000" w:themeColor="text1"/>
          <w:kern w:val="0"/>
          <w:sz w:val="22"/>
          <w:szCs w:val="22"/>
        </w:rPr>
      </w:pPr>
    </w:p>
    <w:p w14:paraId="33F50044" w14:textId="71AB65E6" w:rsidR="009A2A38" w:rsidRPr="001115E6" w:rsidRDefault="009A2A38" w:rsidP="009A2A38">
      <w:pPr>
        <w:spacing w:after="0" w:line="240" w:lineRule="auto"/>
        <w:rPr>
          <w:rFonts w:cs="Calibri"/>
          <w:b/>
          <w:bCs/>
          <w:color w:val="000000" w:themeColor="text1"/>
          <w:kern w:val="0"/>
          <w:sz w:val="22"/>
          <w:szCs w:val="22"/>
        </w:rPr>
      </w:pPr>
      <w:r w:rsidRPr="001115E6">
        <w:rPr>
          <w:rFonts w:cs="Calibri"/>
          <w:b/>
          <w:bCs/>
          <w:color w:val="000000" w:themeColor="text1"/>
          <w:kern w:val="0"/>
          <w:sz w:val="22"/>
          <w:szCs w:val="22"/>
        </w:rPr>
        <w:t>Treatment information</w:t>
      </w:r>
    </w:p>
    <w:p w14:paraId="7D26C5C9" w14:textId="0AAB9DD8" w:rsidR="00F94B01" w:rsidRPr="00367A43" w:rsidRDefault="00BB3DEB" w:rsidP="00F94B01">
      <w:pPr>
        <w:spacing w:after="0" w:line="240" w:lineRule="auto"/>
        <w:rPr>
          <w:color w:val="000000" w:themeColor="text1"/>
          <w:sz w:val="22"/>
          <w:szCs w:val="22"/>
        </w:rPr>
      </w:pPr>
      <w:r w:rsidRPr="005B5921">
        <w:rPr>
          <w:rFonts w:cs="Calibri"/>
          <w:bCs/>
          <w:color w:val="000000" w:themeColor="text1"/>
          <w:sz w:val="22"/>
          <w:szCs w:val="22"/>
        </w:rPr>
        <w:t xml:space="preserve">On </w:t>
      </w:r>
      <w:r w:rsidR="004A004A" w:rsidRPr="005B5921">
        <w:rPr>
          <w:rFonts w:cs="Calibri"/>
          <w:bCs/>
          <w:color w:val="000000" w:themeColor="text1"/>
          <w:sz w:val="22"/>
          <w:szCs w:val="22"/>
        </w:rPr>
        <w:t>March 25</w:t>
      </w:r>
      <w:r w:rsidR="004A004A" w:rsidRPr="005B5921">
        <w:rPr>
          <w:rFonts w:cs="Calibri"/>
          <w:bCs/>
          <w:color w:val="000000" w:themeColor="text1"/>
          <w:sz w:val="22"/>
          <w:szCs w:val="22"/>
          <w:vertAlign w:val="superscript"/>
        </w:rPr>
        <w:t>th</w:t>
      </w:r>
      <w:r w:rsidR="004A004A" w:rsidRPr="005B5921">
        <w:rPr>
          <w:rFonts w:cs="Calibri"/>
          <w:bCs/>
          <w:color w:val="000000" w:themeColor="text1"/>
          <w:sz w:val="22"/>
          <w:szCs w:val="22"/>
        </w:rPr>
        <w:t>,</w:t>
      </w:r>
      <w:r w:rsidR="00BE782C" w:rsidRPr="005B5921">
        <w:rPr>
          <w:rFonts w:cs="Calibri"/>
          <w:bCs/>
          <w:color w:val="000000" w:themeColor="text1"/>
          <w:sz w:val="22"/>
          <w:szCs w:val="22"/>
        </w:rPr>
        <w:t xml:space="preserve"> </w:t>
      </w:r>
      <w:r w:rsidR="004A004A" w:rsidRPr="005B5921">
        <w:rPr>
          <w:rFonts w:cs="Calibri"/>
          <w:bCs/>
          <w:color w:val="000000" w:themeColor="text1"/>
          <w:sz w:val="22"/>
          <w:szCs w:val="22"/>
        </w:rPr>
        <w:t>2026</w:t>
      </w:r>
      <w:r w:rsidRPr="005B5921">
        <w:rPr>
          <w:rFonts w:cs="Calibri"/>
          <w:bCs/>
          <w:color w:val="000000" w:themeColor="text1"/>
          <w:sz w:val="22"/>
          <w:szCs w:val="22"/>
        </w:rPr>
        <w:t>,</w:t>
      </w:r>
      <w:r w:rsidRPr="005B5921">
        <w:rPr>
          <w:rFonts w:cs="Calibri"/>
          <w:bCs/>
          <w:color w:val="FF40FF"/>
          <w:sz w:val="22"/>
          <w:szCs w:val="22"/>
        </w:rPr>
        <w:t xml:space="preserve"> </w:t>
      </w:r>
      <w:r w:rsidR="009A2A38" w:rsidRPr="005B5921">
        <w:rPr>
          <w:rFonts w:cs="Calibri"/>
          <w:bCs/>
          <w:color w:val="000000" w:themeColor="text1"/>
          <w:sz w:val="22"/>
          <w:szCs w:val="22"/>
        </w:rPr>
        <w:t xml:space="preserve">US Food and Drug Administration (FDA) approved </w:t>
      </w:r>
      <w:r w:rsidR="00A63B93" w:rsidRPr="005B5921">
        <w:rPr>
          <w:rFonts w:cs="Calibri"/>
          <w:color w:val="000000" w:themeColor="text1"/>
          <w:kern w:val="0"/>
          <w:sz w:val="22"/>
          <w:szCs w:val="22"/>
        </w:rPr>
        <w:t>LIFYORLI</w:t>
      </w:r>
      <w:r w:rsidR="009A2A38" w:rsidRPr="005B5921">
        <w:rPr>
          <w:rFonts w:cs="Calibri"/>
          <w:color w:val="FF40FF"/>
          <w:sz w:val="22"/>
          <w:szCs w:val="22"/>
        </w:rPr>
        <w:t xml:space="preserve"> </w:t>
      </w:r>
      <w:r w:rsidR="009A2A38" w:rsidRPr="005B5921">
        <w:rPr>
          <w:rFonts w:cs="Calibri"/>
          <w:color w:val="000000" w:themeColor="text1"/>
          <w:kern w:val="0"/>
          <w:sz w:val="22"/>
          <w:szCs w:val="22"/>
        </w:rPr>
        <w:t>+ nab-paclitaxel</w:t>
      </w:r>
      <w:r w:rsidR="009A2A38" w:rsidRPr="005B5921">
        <w:rPr>
          <w:rFonts w:cs="Calibri"/>
          <w:bCs/>
          <w:color w:val="000000" w:themeColor="text1"/>
          <w:sz w:val="22"/>
          <w:szCs w:val="22"/>
        </w:rPr>
        <w:t xml:space="preserve"> for the treatment of adults with platinum-resistant epithelial ovarian, fallopian tube, or primary peritoneal cancer</w:t>
      </w:r>
      <w:r w:rsidR="00960722" w:rsidRPr="005B5921">
        <w:rPr>
          <w:rFonts w:cs="Calibri"/>
          <w:bCs/>
          <w:color w:val="000000" w:themeColor="text1"/>
          <w:sz w:val="22"/>
          <w:szCs w:val="22"/>
        </w:rPr>
        <w:t xml:space="preserve"> </w:t>
      </w:r>
      <w:r w:rsidR="00960722" w:rsidRPr="005B5921">
        <w:rPr>
          <w:sz w:val="22"/>
          <w:szCs w:val="22"/>
        </w:rPr>
        <w:t xml:space="preserve">who have received </w:t>
      </w:r>
      <w:r w:rsidR="00B01CC0" w:rsidRPr="005B5921">
        <w:rPr>
          <w:sz w:val="22"/>
          <w:szCs w:val="22"/>
        </w:rPr>
        <w:t xml:space="preserve">1-3 </w:t>
      </w:r>
      <w:r w:rsidR="00960722" w:rsidRPr="005B5921">
        <w:rPr>
          <w:sz w:val="22"/>
          <w:szCs w:val="22"/>
        </w:rPr>
        <w:t>prior systemic treatment regimens,</w:t>
      </w:r>
      <w:r w:rsidR="00B01CC0" w:rsidRPr="005B5921">
        <w:rPr>
          <w:color w:val="000000" w:themeColor="text1"/>
          <w:sz w:val="22"/>
          <w:szCs w:val="22"/>
        </w:rPr>
        <w:t xml:space="preserve"> at least one of which included</w:t>
      </w:r>
      <w:r w:rsidR="00B01CC0" w:rsidRPr="005B5921">
        <w:rPr>
          <w:rFonts w:cs="Calibri"/>
          <w:bCs/>
          <w:color w:val="000000" w:themeColor="text1"/>
          <w:sz w:val="22"/>
          <w:szCs w:val="22"/>
        </w:rPr>
        <w:t xml:space="preserve"> </w:t>
      </w:r>
      <w:r w:rsidR="00960722" w:rsidRPr="005B5921">
        <w:rPr>
          <w:sz w:val="22"/>
          <w:szCs w:val="22"/>
        </w:rPr>
        <w:t>bevacizumab</w:t>
      </w:r>
      <w:r w:rsidR="009A2A38" w:rsidRPr="005B5921">
        <w:rPr>
          <w:rFonts w:cs="Calibri"/>
          <w:bCs/>
          <w:color w:val="000000" w:themeColor="text1"/>
          <w:sz w:val="22"/>
          <w:szCs w:val="22"/>
        </w:rPr>
        <w:t>.</w:t>
      </w:r>
      <w:r w:rsidR="00620841" w:rsidRPr="005B5921">
        <w:rPr>
          <w:rFonts w:cs="Calibri"/>
          <w:bCs/>
          <w:color w:val="000000" w:themeColor="text1"/>
          <w:sz w:val="22"/>
          <w:szCs w:val="22"/>
          <w:vertAlign w:val="superscript"/>
        </w:rPr>
        <w:t>1</w:t>
      </w:r>
      <w:r w:rsidR="008A1364" w:rsidRPr="005B5921">
        <w:rPr>
          <w:rFonts w:cs="Calibri"/>
          <w:bCs/>
          <w:color w:val="000000" w:themeColor="text1"/>
          <w:sz w:val="22"/>
          <w:szCs w:val="22"/>
        </w:rPr>
        <w:t xml:space="preserve"> </w:t>
      </w:r>
      <w:r w:rsidR="00F94B01" w:rsidRPr="00EF66BB">
        <w:rPr>
          <w:color w:val="000000" w:themeColor="text1"/>
          <w:sz w:val="22"/>
          <w:szCs w:val="22"/>
        </w:rPr>
        <w:t>NCCN Clinical Practice Guidelines in Oncology (NCCN</w:t>
      </w:r>
      <w:r w:rsidR="00AB6FF9">
        <w:rPr>
          <w:color w:val="000000" w:themeColor="text1"/>
          <w:sz w:val="22"/>
          <w:szCs w:val="22"/>
        </w:rPr>
        <w:t xml:space="preserve"> </w:t>
      </w:r>
      <w:r w:rsidR="00F94B01" w:rsidRPr="00EF66BB">
        <w:rPr>
          <w:color w:val="000000" w:themeColor="text1"/>
          <w:sz w:val="22"/>
          <w:szCs w:val="22"/>
        </w:rPr>
        <w:t>Guidelines®)</w:t>
      </w:r>
      <w:r w:rsidR="00AB6FF9">
        <w:rPr>
          <w:color w:val="000000" w:themeColor="text1"/>
          <w:sz w:val="22"/>
          <w:szCs w:val="22"/>
        </w:rPr>
        <w:t xml:space="preserve"> </w:t>
      </w:r>
      <w:r w:rsidR="00F94B01" w:rsidRPr="00EF66BB">
        <w:rPr>
          <w:color w:val="000000" w:themeColor="text1"/>
          <w:sz w:val="22"/>
          <w:szCs w:val="22"/>
        </w:rPr>
        <w:t xml:space="preserve">for </w:t>
      </w:r>
      <w:r w:rsidR="00732444">
        <w:rPr>
          <w:color w:val="000000" w:themeColor="text1"/>
          <w:sz w:val="22"/>
          <w:szCs w:val="22"/>
        </w:rPr>
        <w:t>O</w:t>
      </w:r>
      <w:r w:rsidR="00F94B01" w:rsidRPr="00EF66BB">
        <w:rPr>
          <w:color w:val="000000" w:themeColor="text1"/>
          <w:sz w:val="22"/>
          <w:szCs w:val="22"/>
        </w:rPr>
        <w:t xml:space="preserve">varian </w:t>
      </w:r>
      <w:r w:rsidR="00732444">
        <w:rPr>
          <w:color w:val="000000" w:themeColor="text1"/>
          <w:sz w:val="22"/>
          <w:szCs w:val="22"/>
        </w:rPr>
        <w:t>C</w:t>
      </w:r>
      <w:r w:rsidR="00F94B01" w:rsidRPr="00EF66BB">
        <w:rPr>
          <w:color w:val="000000" w:themeColor="text1"/>
          <w:sz w:val="22"/>
          <w:szCs w:val="22"/>
        </w:rPr>
        <w:t>ancer</w:t>
      </w:r>
      <w:r w:rsidR="00F94B01" w:rsidRPr="00EF66BB">
        <w:rPr>
          <w:rStyle w:val="apple-converted-space"/>
          <w:color w:val="000000" w:themeColor="text1"/>
          <w:sz w:val="22"/>
          <w:szCs w:val="22"/>
        </w:rPr>
        <w:t> </w:t>
      </w:r>
      <w:r w:rsidR="00F94B01" w:rsidRPr="00EF66BB">
        <w:rPr>
          <w:color w:val="000000" w:themeColor="text1"/>
          <w:sz w:val="22"/>
          <w:szCs w:val="22"/>
        </w:rPr>
        <w:t xml:space="preserve">recommend </w:t>
      </w:r>
      <w:r w:rsidR="006E3FBA" w:rsidRPr="00D03FC2">
        <w:rPr>
          <w:color w:val="000000" w:themeColor="text1"/>
          <w:sz w:val="22"/>
          <w:szCs w:val="22"/>
        </w:rPr>
        <w:t xml:space="preserve">relacorilant </w:t>
      </w:r>
      <w:r w:rsidR="006E3FBA">
        <w:rPr>
          <w:color w:val="000000" w:themeColor="text1"/>
          <w:sz w:val="22"/>
          <w:szCs w:val="22"/>
        </w:rPr>
        <w:t>(</w:t>
      </w:r>
      <w:r w:rsidR="006E3FBA" w:rsidRPr="00D03FC2">
        <w:rPr>
          <w:color w:val="000000" w:themeColor="text1"/>
          <w:sz w:val="22"/>
          <w:szCs w:val="22"/>
        </w:rPr>
        <w:t>LIF</w:t>
      </w:r>
      <w:r w:rsidR="006E3FBA">
        <w:rPr>
          <w:color w:val="000000" w:themeColor="text1"/>
          <w:sz w:val="22"/>
          <w:szCs w:val="22"/>
        </w:rPr>
        <w:t>Y</w:t>
      </w:r>
      <w:r w:rsidR="006E3FBA" w:rsidRPr="00D03FC2">
        <w:rPr>
          <w:color w:val="000000" w:themeColor="text1"/>
          <w:sz w:val="22"/>
          <w:szCs w:val="22"/>
        </w:rPr>
        <w:t>ORLI</w:t>
      </w:r>
      <w:r w:rsidR="006E3FBA" w:rsidRPr="00503D54">
        <w:rPr>
          <w:color w:val="000000" w:themeColor="text1"/>
          <w:sz w:val="22"/>
          <w:szCs w:val="22"/>
        </w:rPr>
        <w:t>)</w:t>
      </w:r>
      <w:r w:rsidR="00F94B01" w:rsidRPr="00EF66BB">
        <w:rPr>
          <w:color w:val="000000" w:themeColor="text1"/>
          <w:sz w:val="22"/>
          <w:szCs w:val="22"/>
        </w:rPr>
        <w:t xml:space="preserve"> in combination with nab-paclitaxel as a preferred therapy for </w:t>
      </w:r>
      <w:r w:rsidR="006B54E6">
        <w:rPr>
          <w:color w:val="000000" w:themeColor="text1"/>
          <w:sz w:val="22"/>
          <w:szCs w:val="22"/>
        </w:rPr>
        <w:t xml:space="preserve">select </w:t>
      </w:r>
      <w:r w:rsidR="00F94B01" w:rsidRPr="00EF66BB">
        <w:rPr>
          <w:color w:val="000000" w:themeColor="text1"/>
          <w:sz w:val="22"/>
          <w:szCs w:val="22"/>
        </w:rPr>
        <w:t>patients with platinum-resistant disease.</w:t>
      </w:r>
      <w:r w:rsidR="00F94B01" w:rsidRPr="00D817B1">
        <w:rPr>
          <w:rFonts w:cs="Calibri"/>
          <w:bCs/>
          <w:color w:val="000000" w:themeColor="text1"/>
          <w:sz w:val="22"/>
          <w:szCs w:val="22"/>
          <w:vertAlign w:val="superscript"/>
        </w:rPr>
        <w:t>2</w:t>
      </w:r>
      <w:r w:rsidR="009F2EF7" w:rsidRPr="00367A43">
        <w:rPr>
          <w:rFonts w:cs="Calibri"/>
          <w:bCs/>
          <w:color w:val="000000" w:themeColor="text1"/>
          <w:sz w:val="22"/>
          <w:szCs w:val="22"/>
        </w:rPr>
        <w:t>*</w:t>
      </w:r>
    </w:p>
    <w:p w14:paraId="064E76BB" w14:textId="77777777" w:rsidR="009A2A38" w:rsidRPr="001115E6" w:rsidRDefault="009A2A38" w:rsidP="009A2A38">
      <w:pPr>
        <w:spacing w:after="0" w:line="240" w:lineRule="auto"/>
        <w:rPr>
          <w:rFonts w:cs="Calibri"/>
          <w:color w:val="000000" w:themeColor="text1"/>
          <w:kern w:val="0"/>
          <w:sz w:val="22"/>
          <w:szCs w:val="22"/>
        </w:rPr>
      </w:pPr>
    </w:p>
    <w:p w14:paraId="0B2D8A60" w14:textId="4E54374E" w:rsidR="009A2A38" w:rsidRPr="001115E6" w:rsidRDefault="00A63B93" w:rsidP="009A2A38">
      <w:pPr>
        <w:spacing w:after="0" w:line="240" w:lineRule="auto"/>
        <w:rPr>
          <w:rFonts w:cs="Calibri"/>
          <w:color w:val="000000" w:themeColor="text1"/>
          <w:kern w:val="0"/>
          <w:sz w:val="22"/>
          <w:szCs w:val="22"/>
        </w:rPr>
      </w:pPr>
      <w:r w:rsidRPr="001115E6">
        <w:rPr>
          <w:rFonts w:cs="Calibri"/>
          <w:color w:val="000000" w:themeColor="text1"/>
          <w:kern w:val="0"/>
          <w:sz w:val="22"/>
          <w:szCs w:val="22"/>
        </w:rPr>
        <w:t>LIFYORLI</w:t>
      </w:r>
      <w:r w:rsidRPr="001115E6" w:rsidDel="00A63B93">
        <w:rPr>
          <w:rFonts w:cs="Calibri"/>
          <w:color w:val="000000" w:themeColor="text1"/>
          <w:kern w:val="0"/>
          <w:sz w:val="22"/>
          <w:szCs w:val="22"/>
        </w:rPr>
        <w:t xml:space="preserve"> </w:t>
      </w:r>
      <w:r w:rsidR="009A2A38" w:rsidRPr="001115E6">
        <w:rPr>
          <w:rFonts w:cs="Calibri"/>
          <w:color w:val="000000" w:themeColor="text1"/>
          <w:kern w:val="0"/>
          <w:sz w:val="22"/>
          <w:szCs w:val="22"/>
        </w:rPr>
        <w:t>is an orally administered selective</w:t>
      </w:r>
      <w:r w:rsidR="00960722" w:rsidRPr="001115E6">
        <w:rPr>
          <w:rFonts w:cs="Calibri"/>
          <w:color w:val="000000" w:themeColor="text1"/>
          <w:kern w:val="0"/>
          <w:sz w:val="22"/>
          <w:szCs w:val="22"/>
        </w:rPr>
        <w:t>ly acting</w:t>
      </w:r>
      <w:r w:rsidR="009A2A38" w:rsidRPr="001115E6">
        <w:rPr>
          <w:rFonts w:cs="Calibri"/>
          <w:color w:val="000000" w:themeColor="text1"/>
          <w:kern w:val="0"/>
          <w:sz w:val="22"/>
          <w:szCs w:val="22"/>
        </w:rPr>
        <w:t xml:space="preserve"> glucocorticoid receptor antagonist. As part of a regimen of </w:t>
      </w:r>
      <w:r w:rsidR="001708C9" w:rsidRPr="001115E6">
        <w:rPr>
          <w:rFonts w:cs="Calibri"/>
          <w:color w:val="000000" w:themeColor="text1"/>
          <w:kern w:val="0"/>
          <w:sz w:val="22"/>
          <w:szCs w:val="22"/>
        </w:rPr>
        <w:t xml:space="preserve">3 </w:t>
      </w:r>
      <w:r w:rsidR="009A2A38" w:rsidRPr="001115E6">
        <w:rPr>
          <w:rFonts w:cs="Calibri"/>
          <w:color w:val="000000" w:themeColor="text1"/>
          <w:kern w:val="0"/>
          <w:sz w:val="22"/>
          <w:szCs w:val="22"/>
        </w:rPr>
        <w:t xml:space="preserve">pills, </w:t>
      </w:r>
      <w:r w:rsidRPr="00193B15">
        <w:rPr>
          <w:rFonts w:cs="Calibri"/>
          <w:color w:val="000000" w:themeColor="text1"/>
          <w:kern w:val="0"/>
          <w:sz w:val="22"/>
          <w:szCs w:val="22"/>
        </w:rPr>
        <w:t>LIFYORLI</w:t>
      </w:r>
      <w:r w:rsidRPr="00193B15" w:rsidDel="00A63B93">
        <w:rPr>
          <w:rFonts w:cs="Calibri"/>
          <w:color w:val="000000" w:themeColor="text1"/>
          <w:kern w:val="0"/>
          <w:sz w:val="22"/>
          <w:szCs w:val="22"/>
        </w:rPr>
        <w:t xml:space="preserve"> </w:t>
      </w:r>
      <w:r w:rsidR="00C15AB3" w:rsidRPr="005B5921">
        <w:rPr>
          <w:rFonts w:cs="Calibri"/>
          <w:noProof/>
          <w:color w:val="000000" w:themeColor="text1"/>
          <w:sz w:val="22"/>
          <w:szCs w:val="22"/>
          <w:highlight w:val="yellow"/>
        </w:rPr>
        <w:t>[150 mg</w:t>
      </w:r>
      <w:r w:rsidR="00993455" w:rsidRPr="005B5921">
        <w:rPr>
          <w:rFonts w:cs="Calibri"/>
          <w:noProof/>
          <w:color w:val="000000" w:themeColor="text1"/>
          <w:sz w:val="22"/>
          <w:szCs w:val="22"/>
          <w:highlight w:val="yellow"/>
        </w:rPr>
        <w:t>]</w:t>
      </w:r>
      <w:r w:rsidR="009A2A38" w:rsidRPr="00193B15">
        <w:rPr>
          <w:rFonts w:cs="Calibri"/>
          <w:color w:val="000000" w:themeColor="text1"/>
          <w:kern w:val="0"/>
          <w:sz w:val="22"/>
          <w:szCs w:val="22"/>
        </w:rPr>
        <w:t xml:space="preserve"> is taken the</w:t>
      </w:r>
      <w:r w:rsidR="009A2A38" w:rsidRPr="001115E6">
        <w:rPr>
          <w:rFonts w:cs="Calibri"/>
          <w:color w:val="000000" w:themeColor="text1"/>
          <w:kern w:val="0"/>
          <w:sz w:val="22"/>
          <w:szCs w:val="22"/>
        </w:rPr>
        <w:t xml:space="preserve"> day before, the day of, and the day after each weekly nab-paclitaxel infusion. Nab-paclitaxel is administered at a dose of 80 mg/m² through IV infusion on Days 1, 8, and 15 of a 28-day cycle</w:t>
      </w:r>
      <w:r w:rsidR="00960722" w:rsidRPr="001115E6">
        <w:rPr>
          <w:rFonts w:cs="Calibri"/>
          <w:color w:val="000000" w:themeColor="text1"/>
          <w:kern w:val="0"/>
          <w:sz w:val="22"/>
          <w:szCs w:val="22"/>
        </w:rPr>
        <w:t>,</w:t>
      </w:r>
      <w:r w:rsidR="001D0C83" w:rsidRPr="001115E6">
        <w:rPr>
          <w:rFonts w:cs="Calibri"/>
          <w:color w:val="000000" w:themeColor="text1"/>
          <w:kern w:val="0"/>
          <w:sz w:val="22"/>
          <w:szCs w:val="22"/>
        </w:rPr>
        <w:t xml:space="preserve"> when combined with LIFYORLI</w:t>
      </w:r>
      <w:r w:rsidR="009A2A38" w:rsidRPr="001115E6">
        <w:rPr>
          <w:rFonts w:cs="Calibri"/>
          <w:bCs/>
          <w:color w:val="000000" w:themeColor="text1"/>
          <w:sz w:val="22"/>
          <w:szCs w:val="22"/>
        </w:rPr>
        <w:t>.</w:t>
      </w:r>
      <w:r w:rsidR="00626153" w:rsidRPr="00626153">
        <w:rPr>
          <w:rFonts w:ascii="Aptos" w:hAnsi="Aptos" w:cs="Calibri"/>
          <w:bCs/>
          <w:color w:val="000000" w:themeColor="text1"/>
          <w:sz w:val="22"/>
          <w:szCs w:val="22"/>
        </w:rPr>
        <w:t xml:space="preserve"> </w:t>
      </w:r>
      <w:r w:rsidR="00626153">
        <w:rPr>
          <w:rFonts w:ascii="Aptos" w:hAnsi="Aptos" w:cs="Calibri"/>
          <w:bCs/>
          <w:color w:val="000000" w:themeColor="text1"/>
          <w:sz w:val="22"/>
          <w:szCs w:val="22"/>
        </w:rPr>
        <w:t>Nab-paclitaxel should not be substituted with other paclitaxel formulations.</w:t>
      </w:r>
      <w:r w:rsidR="001D0C83" w:rsidRPr="001115E6">
        <w:rPr>
          <w:rFonts w:cs="Calibri"/>
          <w:color w:val="000000" w:themeColor="text1"/>
          <w:kern w:val="0"/>
          <w:sz w:val="22"/>
          <w:szCs w:val="22"/>
          <w:vertAlign w:val="superscript"/>
        </w:rPr>
        <w:t>1</w:t>
      </w:r>
      <w:r w:rsidR="008A1364">
        <w:rPr>
          <w:rFonts w:cs="Calibri"/>
          <w:color w:val="000000" w:themeColor="text1"/>
          <w:kern w:val="0"/>
          <w:sz w:val="22"/>
          <w:szCs w:val="22"/>
          <w:vertAlign w:val="superscript"/>
        </w:rPr>
        <w:t>,3,4</w:t>
      </w:r>
    </w:p>
    <w:p w14:paraId="686234DB" w14:textId="77777777" w:rsidR="00B808B5" w:rsidRPr="001115E6" w:rsidRDefault="00B808B5" w:rsidP="009A2A38">
      <w:pPr>
        <w:spacing w:after="0" w:line="240" w:lineRule="auto"/>
        <w:rPr>
          <w:rFonts w:cs="Calibri"/>
          <w:color w:val="000000" w:themeColor="text1"/>
          <w:kern w:val="0"/>
          <w:sz w:val="22"/>
          <w:szCs w:val="22"/>
        </w:rPr>
      </w:pPr>
    </w:p>
    <w:p w14:paraId="503FBDA5" w14:textId="69AE6CD2" w:rsidR="0053673F" w:rsidRPr="001115E6" w:rsidRDefault="009A2A38" w:rsidP="009A2A38">
      <w:pPr>
        <w:spacing w:after="0" w:line="240" w:lineRule="auto"/>
        <w:rPr>
          <w:rFonts w:cs="Calibri"/>
          <w:b/>
          <w:color w:val="000000" w:themeColor="text1"/>
          <w:sz w:val="22"/>
          <w:szCs w:val="22"/>
        </w:rPr>
      </w:pPr>
      <w:r w:rsidRPr="001115E6">
        <w:rPr>
          <w:rFonts w:cs="Calibri"/>
          <w:b/>
          <w:color w:val="000000" w:themeColor="text1"/>
          <w:sz w:val="22"/>
          <w:szCs w:val="22"/>
        </w:rPr>
        <w:t>Summary</w:t>
      </w:r>
    </w:p>
    <w:p w14:paraId="7CE52D61" w14:textId="77FCBF6E" w:rsidR="009A2A38" w:rsidRPr="001115E6" w:rsidRDefault="0053673F" w:rsidP="009A2A38">
      <w:pPr>
        <w:spacing w:after="0" w:line="240" w:lineRule="auto"/>
        <w:rPr>
          <w:rFonts w:cs="Calibri"/>
          <w:bCs/>
          <w:color w:val="000000" w:themeColor="text1"/>
          <w:sz w:val="22"/>
          <w:szCs w:val="22"/>
        </w:rPr>
      </w:pPr>
      <w:r w:rsidRPr="001115E6">
        <w:rPr>
          <w:rFonts w:cs="Calibri"/>
          <w:bCs/>
          <w:color w:val="000000" w:themeColor="text1"/>
          <w:sz w:val="22"/>
          <w:szCs w:val="22"/>
        </w:rPr>
        <w:t xml:space="preserve">Given the provided evidence, I am confident you will agree treatment with </w:t>
      </w:r>
      <w:r w:rsidR="00A63B93" w:rsidRPr="001115E6">
        <w:rPr>
          <w:rFonts w:cs="Calibri"/>
          <w:color w:val="000000" w:themeColor="text1"/>
          <w:kern w:val="0"/>
          <w:sz w:val="22"/>
          <w:szCs w:val="22"/>
        </w:rPr>
        <w:t>LIFYORLI</w:t>
      </w:r>
      <w:r w:rsidR="00A63B93" w:rsidRPr="001115E6" w:rsidDel="00A63B93">
        <w:rPr>
          <w:rFonts w:cs="Calibri"/>
          <w:bCs/>
          <w:color w:val="000000" w:themeColor="text1"/>
          <w:sz w:val="22"/>
          <w:szCs w:val="22"/>
        </w:rPr>
        <w:t xml:space="preserve"> </w:t>
      </w:r>
      <w:r w:rsidRPr="001115E6">
        <w:rPr>
          <w:rFonts w:cs="Calibri"/>
          <w:bCs/>
          <w:color w:val="000000" w:themeColor="text1"/>
          <w:kern w:val="0"/>
          <w:sz w:val="22"/>
          <w:szCs w:val="22"/>
        </w:rPr>
        <w:t xml:space="preserve">+ </w:t>
      </w:r>
      <w:r w:rsidR="00A02EFE" w:rsidRPr="001115E6">
        <w:rPr>
          <w:rFonts w:cs="Calibri"/>
          <w:bCs/>
          <w:color w:val="000000" w:themeColor="text1"/>
          <w:kern w:val="0"/>
          <w:sz w:val="22"/>
          <w:szCs w:val="22"/>
        </w:rPr>
        <w:br/>
      </w:r>
      <w:r w:rsidRPr="001115E6">
        <w:rPr>
          <w:rFonts w:cs="Calibri"/>
          <w:bCs/>
          <w:color w:val="000000" w:themeColor="text1"/>
          <w:kern w:val="0"/>
          <w:sz w:val="22"/>
          <w:szCs w:val="22"/>
        </w:rPr>
        <w:t>nab-paclitaxel</w:t>
      </w:r>
      <w:r w:rsidRPr="001115E6">
        <w:rPr>
          <w:rFonts w:cs="Calibri"/>
          <w:bCs/>
          <w:color w:val="000000" w:themeColor="text1"/>
          <w:sz w:val="22"/>
          <w:szCs w:val="22"/>
        </w:rPr>
        <w:t xml:space="preserve"> is medically necessary. It is crucial that </w:t>
      </w:r>
      <w:r w:rsidRPr="001115E6">
        <w:rPr>
          <w:rFonts w:cs="Calibri"/>
          <w:noProof/>
          <w:color w:val="000000" w:themeColor="text1"/>
          <w:sz w:val="22"/>
          <w:szCs w:val="22"/>
          <w:highlight w:val="yellow"/>
        </w:rPr>
        <w:t>[patient name]</w:t>
      </w:r>
      <w:r w:rsidRPr="001115E6">
        <w:rPr>
          <w:rFonts w:cs="Calibri"/>
          <w:bCs/>
          <w:color w:val="000000" w:themeColor="text1"/>
          <w:sz w:val="22"/>
          <w:szCs w:val="22"/>
        </w:rPr>
        <w:t xml:space="preserve"> receives the care they need. </w:t>
      </w:r>
      <w:r w:rsidR="009A2A38" w:rsidRPr="001115E6">
        <w:rPr>
          <w:rFonts w:cs="Calibri"/>
          <w:bCs/>
          <w:color w:val="000000" w:themeColor="text1"/>
          <w:sz w:val="22"/>
          <w:szCs w:val="22"/>
        </w:rPr>
        <w:t>If you require additional information, please contact me at the phone number provided below. I look forward to receiving your timely response and approval of this claim.</w:t>
      </w:r>
    </w:p>
    <w:p w14:paraId="7F0AD6D3" w14:textId="77777777" w:rsidR="009A2A38" w:rsidRPr="001115E6" w:rsidRDefault="009A2A38" w:rsidP="009A2A38">
      <w:pPr>
        <w:spacing w:after="0" w:line="240" w:lineRule="auto"/>
        <w:rPr>
          <w:rFonts w:cs="Calibri"/>
          <w:color w:val="000000" w:themeColor="text1"/>
          <w:kern w:val="0"/>
          <w:sz w:val="22"/>
          <w:szCs w:val="22"/>
        </w:rPr>
      </w:pPr>
    </w:p>
    <w:p w14:paraId="5DE04EC4" w14:textId="77777777" w:rsidR="009A2A38" w:rsidRPr="001115E6" w:rsidRDefault="009A2A38" w:rsidP="009A2A38">
      <w:pPr>
        <w:spacing w:after="0" w:line="240" w:lineRule="auto"/>
        <w:rPr>
          <w:rFonts w:cs="Calibri"/>
          <w:color w:val="000000" w:themeColor="text1"/>
          <w:kern w:val="0"/>
          <w:sz w:val="22"/>
          <w:szCs w:val="22"/>
        </w:rPr>
      </w:pPr>
      <w:r w:rsidRPr="001115E6">
        <w:rPr>
          <w:rFonts w:cs="Calibri"/>
          <w:color w:val="000000" w:themeColor="text1"/>
          <w:kern w:val="0"/>
          <w:sz w:val="22"/>
          <w:szCs w:val="22"/>
        </w:rPr>
        <w:t>Sincerely,</w:t>
      </w:r>
    </w:p>
    <w:p w14:paraId="013AA79F" w14:textId="77777777" w:rsidR="009A2A38" w:rsidRPr="001115E6" w:rsidRDefault="009A2A38" w:rsidP="009A2A38">
      <w:pPr>
        <w:spacing w:after="0" w:line="240" w:lineRule="auto"/>
        <w:rPr>
          <w:rFonts w:cs="Calibri"/>
          <w:color w:val="000000" w:themeColor="text1"/>
          <w:kern w:val="0"/>
          <w:sz w:val="22"/>
          <w:szCs w:val="22"/>
        </w:rPr>
      </w:pPr>
      <w:r w:rsidRPr="001115E6">
        <w:rPr>
          <w:rFonts w:cs="Calibri"/>
          <w:color w:val="000000" w:themeColor="text1"/>
          <w:kern w:val="0"/>
          <w:sz w:val="22"/>
          <w:szCs w:val="22"/>
        </w:rPr>
        <w:t>_________________________________________</w:t>
      </w:r>
    </w:p>
    <w:p w14:paraId="423D4040" w14:textId="77777777" w:rsidR="009A2A38" w:rsidRPr="001115E6" w:rsidRDefault="009A2A38" w:rsidP="009A2A38">
      <w:pPr>
        <w:spacing w:after="0" w:line="240" w:lineRule="auto"/>
        <w:rPr>
          <w:rFonts w:cs="Calibri"/>
          <w:color w:val="000000" w:themeColor="text1"/>
          <w:kern w:val="0"/>
          <w:sz w:val="22"/>
          <w:szCs w:val="22"/>
        </w:rPr>
      </w:pPr>
      <w:r w:rsidRPr="001115E6">
        <w:rPr>
          <w:rFonts w:cs="Calibri"/>
          <w:color w:val="000000" w:themeColor="text1"/>
          <w:kern w:val="0"/>
          <w:sz w:val="22"/>
          <w:szCs w:val="22"/>
        </w:rPr>
        <w:t>(Signature)</w:t>
      </w:r>
    </w:p>
    <w:p w14:paraId="5CE6C1B0" w14:textId="77777777" w:rsidR="00A346CD" w:rsidRPr="001115E6" w:rsidRDefault="00A346CD" w:rsidP="009A2A38">
      <w:pPr>
        <w:spacing w:after="0" w:line="240" w:lineRule="auto"/>
        <w:rPr>
          <w:rFonts w:cs="Calibri"/>
          <w:noProof/>
          <w:color w:val="FF40FF"/>
          <w:sz w:val="22"/>
          <w:szCs w:val="22"/>
          <w:highlight w:val="yellow"/>
        </w:rPr>
      </w:pPr>
    </w:p>
    <w:p w14:paraId="42D6A7A6" w14:textId="63AF734A" w:rsidR="009A2A38" w:rsidRPr="001115E6" w:rsidRDefault="009A2A38" w:rsidP="009A2A38">
      <w:pPr>
        <w:spacing w:after="0" w:line="240" w:lineRule="auto"/>
        <w:rPr>
          <w:rFonts w:cs="Calibri"/>
          <w:noProof/>
          <w:color w:val="000000" w:themeColor="text1"/>
          <w:sz w:val="22"/>
          <w:szCs w:val="22"/>
          <w:highlight w:val="yellow"/>
        </w:rPr>
      </w:pPr>
      <w:r w:rsidRPr="001115E6">
        <w:rPr>
          <w:rFonts w:cs="Calibri"/>
          <w:noProof/>
          <w:color w:val="000000" w:themeColor="text1"/>
          <w:sz w:val="22"/>
          <w:szCs w:val="22"/>
          <w:highlight w:val="yellow"/>
        </w:rPr>
        <w:t>[Physician’s name]</w:t>
      </w:r>
    </w:p>
    <w:p w14:paraId="3FEA6CC9" w14:textId="77777777" w:rsidR="009A2A38" w:rsidRPr="001115E6" w:rsidRDefault="009A2A38" w:rsidP="009A2A38">
      <w:pPr>
        <w:spacing w:after="0" w:line="240" w:lineRule="auto"/>
        <w:rPr>
          <w:rFonts w:cs="Calibri"/>
          <w:noProof/>
          <w:color w:val="000000" w:themeColor="text1"/>
          <w:sz w:val="22"/>
          <w:szCs w:val="22"/>
          <w:highlight w:val="yellow"/>
        </w:rPr>
      </w:pPr>
      <w:r w:rsidRPr="001115E6">
        <w:rPr>
          <w:rFonts w:cs="Calibri"/>
          <w:noProof/>
          <w:color w:val="000000" w:themeColor="text1"/>
          <w:sz w:val="22"/>
          <w:szCs w:val="22"/>
          <w:highlight w:val="yellow"/>
        </w:rPr>
        <w:t>[NPI #]</w:t>
      </w:r>
    </w:p>
    <w:p w14:paraId="1F5C40ED" w14:textId="77777777" w:rsidR="009A2A38" w:rsidRPr="001115E6" w:rsidRDefault="009A2A38" w:rsidP="009A2A38">
      <w:pPr>
        <w:spacing w:after="0" w:line="240" w:lineRule="auto"/>
        <w:rPr>
          <w:rFonts w:cs="Calibri"/>
          <w:noProof/>
          <w:color w:val="000000" w:themeColor="text1"/>
          <w:sz w:val="22"/>
          <w:szCs w:val="22"/>
          <w:highlight w:val="yellow"/>
        </w:rPr>
      </w:pPr>
      <w:r w:rsidRPr="001115E6">
        <w:rPr>
          <w:rFonts w:cs="Calibri"/>
          <w:noProof/>
          <w:color w:val="000000" w:themeColor="text1"/>
          <w:sz w:val="22"/>
          <w:szCs w:val="22"/>
          <w:highlight w:val="yellow"/>
        </w:rPr>
        <w:t>[Practice address]</w:t>
      </w:r>
    </w:p>
    <w:p w14:paraId="313378C6" w14:textId="77777777" w:rsidR="009A2A38" w:rsidRPr="001115E6" w:rsidRDefault="009A2A38" w:rsidP="009A2A38">
      <w:pPr>
        <w:spacing w:after="0" w:line="240" w:lineRule="auto"/>
        <w:rPr>
          <w:rFonts w:cs="Calibri"/>
          <w:noProof/>
          <w:color w:val="000000" w:themeColor="text1"/>
          <w:sz w:val="22"/>
          <w:szCs w:val="22"/>
          <w:highlight w:val="yellow"/>
        </w:rPr>
      </w:pPr>
      <w:r w:rsidRPr="001115E6">
        <w:rPr>
          <w:rFonts w:cs="Calibri"/>
          <w:noProof/>
          <w:color w:val="000000" w:themeColor="text1"/>
          <w:sz w:val="22"/>
          <w:szCs w:val="22"/>
          <w:highlight w:val="yellow"/>
        </w:rPr>
        <w:t>[Practice phone number]</w:t>
      </w:r>
    </w:p>
    <w:p w14:paraId="1EAD1202" w14:textId="77777777" w:rsidR="009A2A38" w:rsidRPr="001115E6" w:rsidRDefault="009A2A38" w:rsidP="009A2A38">
      <w:pPr>
        <w:spacing w:after="0" w:line="240" w:lineRule="auto"/>
        <w:rPr>
          <w:rFonts w:cs="Calibri"/>
          <w:color w:val="000000" w:themeColor="text1"/>
          <w:kern w:val="0"/>
          <w:sz w:val="22"/>
          <w:szCs w:val="22"/>
        </w:rPr>
      </w:pPr>
    </w:p>
    <w:p w14:paraId="7098948A" w14:textId="19ED9F73" w:rsidR="009A2A38" w:rsidRPr="001115E6" w:rsidRDefault="009A2A38" w:rsidP="009A2A38">
      <w:pPr>
        <w:spacing w:after="0" w:line="240" w:lineRule="auto"/>
        <w:rPr>
          <w:rFonts w:cs="Calibri"/>
          <w:color w:val="000000" w:themeColor="text1"/>
          <w:kern w:val="0"/>
          <w:sz w:val="22"/>
          <w:szCs w:val="22"/>
          <w:highlight w:val="yellow"/>
        </w:rPr>
      </w:pPr>
      <w:r w:rsidRPr="001115E6">
        <w:rPr>
          <w:rFonts w:cs="Calibri"/>
          <w:b/>
          <w:bCs/>
          <w:color w:val="000000" w:themeColor="text1"/>
          <w:kern w:val="0"/>
          <w:sz w:val="22"/>
          <w:szCs w:val="22"/>
        </w:rPr>
        <w:t>Enclosures:</w:t>
      </w:r>
      <w:r w:rsidRPr="001115E6">
        <w:rPr>
          <w:rFonts w:cs="Calibri"/>
          <w:color w:val="000000" w:themeColor="text1"/>
          <w:kern w:val="0"/>
          <w:sz w:val="22"/>
          <w:szCs w:val="22"/>
        </w:rPr>
        <w:t xml:space="preserve"> </w:t>
      </w:r>
      <w:r w:rsidRPr="001115E6">
        <w:rPr>
          <w:rFonts w:cs="Calibri"/>
          <w:noProof/>
          <w:color w:val="000000" w:themeColor="text1"/>
          <w:sz w:val="22"/>
          <w:szCs w:val="22"/>
          <w:highlight w:val="yellow"/>
        </w:rPr>
        <w:t>[</w:t>
      </w:r>
      <w:r w:rsidR="006B54E6">
        <w:rPr>
          <w:rFonts w:cs="Calibri"/>
          <w:noProof/>
          <w:color w:val="000000" w:themeColor="text1"/>
          <w:sz w:val="22"/>
          <w:szCs w:val="22"/>
          <w:highlight w:val="yellow"/>
        </w:rPr>
        <w:t xml:space="preserve">Relacorilant </w:t>
      </w:r>
      <w:r w:rsidRPr="001115E6">
        <w:rPr>
          <w:rFonts w:cs="Calibri"/>
          <w:noProof/>
          <w:color w:val="000000" w:themeColor="text1"/>
          <w:sz w:val="22"/>
          <w:szCs w:val="22"/>
          <w:highlight w:val="yellow"/>
        </w:rPr>
        <w:t>(</w:t>
      </w:r>
      <w:r w:rsidR="006B54E6" w:rsidRPr="001115E6">
        <w:rPr>
          <w:rFonts w:cs="Calibri"/>
          <w:noProof/>
          <w:color w:val="000000" w:themeColor="text1"/>
          <w:sz w:val="22"/>
          <w:szCs w:val="22"/>
          <w:highlight w:val="yellow"/>
        </w:rPr>
        <w:t>LIFYORLI</w:t>
      </w:r>
      <w:r w:rsidRPr="001115E6">
        <w:rPr>
          <w:rFonts w:cs="Calibri"/>
          <w:noProof/>
          <w:color w:val="000000" w:themeColor="text1"/>
          <w:sz w:val="22"/>
          <w:szCs w:val="22"/>
          <w:highlight w:val="yellow"/>
        </w:rPr>
        <w:t>) Prescribing Information</w:t>
      </w:r>
      <w:r w:rsidR="00D577D1" w:rsidRPr="00843208">
        <w:rPr>
          <w:color w:val="000000" w:themeColor="text1"/>
          <w:sz w:val="22"/>
          <w:szCs w:val="22"/>
          <w:highlight w:val="yellow"/>
        </w:rPr>
        <w:t>,</w:t>
      </w:r>
      <w:r w:rsidRPr="001115E6">
        <w:rPr>
          <w:rFonts w:cs="Calibri"/>
          <w:noProof/>
          <w:color w:val="000000" w:themeColor="text1"/>
          <w:sz w:val="22"/>
          <w:szCs w:val="22"/>
          <w:highlight w:val="yellow"/>
        </w:rPr>
        <w:t xml:space="preserve"> </w:t>
      </w:r>
      <w:r w:rsidR="008A1364" w:rsidRPr="008425FD">
        <w:rPr>
          <w:rFonts w:cs="Calibri"/>
          <w:bCs/>
          <w:color w:val="000000" w:themeColor="text1"/>
          <w:kern w:val="0"/>
          <w:sz w:val="22"/>
          <w:szCs w:val="22"/>
          <w:highlight w:val="yellow"/>
        </w:rPr>
        <w:t xml:space="preserve">NCCN Guidelines® for </w:t>
      </w:r>
      <w:r w:rsidR="00BF5ED8">
        <w:rPr>
          <w:rFonts w:cs="Calibri"/>
          <w:bCs/>
          <w:color w:val="000000" w:themeColor="text1"/>
          <w:kern w:val="0"/>
          <w:sz w:val="22"/>
          <w:szCs w:val="22"/>
          <w:highlight w:val="yellow"/>
        </w:rPr>
        <w:t>o</w:t>
      </w:r>
      <w:r w:rsidR="008A1364" w:rsidRPr="008425FD">
        <w:rPr>
          <w:rFonts w:cs="Calibri"/>
          <w:bCs/>
          <w:color w:val="000000" w:themeColor="text1"/>
          <w:kern w:val="0"/>
          <w:sz w:val="22"/>
          <w:szCs w:val="22"/>
          <w:highlight w:val="yellow"/>
        </w:rPr>
        <w:t xml:space="preserve">varian </w:t>
      </w:r>
      <w:r w:rsidR="00BF5ED8">
        <w:rPr>
          <w:rFonts w:cs="Calibri"/>
          <w:bCs/>
          <w:color w:val="000000" w:themeColor="text1"/>
          <w:kern w:val="0"/>
          <w:sz w:val="22"/>
          <w:szCs w:val="22"/>
          <w:highlight w:val="yellow"/>
        </w:rPr>
        <w:t>c</w:t>
      </w:r>
      <w:r w:rsidR="008A1364" w:rsidRPr="008425FD">
        <w:rPr>
          <w:rFonts w:cs="Calibri"/>
          <w:bCs/>
          <w:color w:val="000000" w:themeColor="text1"/>
          <w:kern w:val="0"/>
          <w:sz w:val="22"/>
          <w:szCs w:val="22"/>
          <w:highlight w:val="yellow"/>
        </w:rPr>
        <w:t>ancer/</w:t>
      </w:r>
      <w:r w:rsidR="00BF5ED8">
        <w:rPr>
          <w:rFonts w:cs="Calibri"/>
          <w:bCs/>
          <w:color w:val="000000" w:themeColor="text1"/>
          <w:kern w:val="0"/>
          <w:sz w:val="22"/>
          <w:szCs w:val="22"/>
          <w:highlight w:val="yellow"/>
        </w:rPr>
        <w:t>f</w:t>
      </w:r>
      <w:r w:rsidR="008A1364" w:rsidRPr="008425FD">
        <w:rPr>
          <w:rFonts w:cs="Calibri"/>
          <w:bCs/>
          <w:color w:val="000000" w:themeColor="text1"/>
          <w:kern w:val="0"/>
          <w:sz w:val="22"/>
          <w:szCs w:val="22"/>
          <w:highlight w:val="yellow"/>
        </w:rPr>
        <w:t xml:space="preserve">allopian </w:t>
      </w:r>
      <w:r w:rsidR="00BF5ED8">
        <w:rPr>
          <w:rFonts w:cs="Calibri"/>
          <w:bCs/>
          <w:color w:val="000000" w:themeColor="text1"/>
          <w:kern w:val="0"/>
          <w:sz w:val="22"/>
          <w:szCs w:val="22"/>
          <w:highlight w:val="yellow"/>
        </w:rPr>
        <w:t>t</w:t>
      </w:r>
      <w:r w:rsidR="008A1364" w:rsidRPr="008425FD">
        <w:rPr>
          <w:rFonts w:cs="Calibri"/>
          <w:bCs/>
          <w:color w:val="000000" w:themeColor="text1"/>
          <w:kern w:val="0"/>
          <w:sz w:val="22"/>
          <w:szCs w:val="22"/>
          <w:highlight w:val="yellow"/>
        </w:rPr>
        <w:t xml:space="preserve">ube </w:t>
      </w:r>
      <w:r w:rsidR="00BF5ED8">
        <w:rPr>
          <w:rFonts w:cs="Calibri"/>
          <w:bCs/>
          <w:color w:val="000000" w:themeColor="text1"/>
          <w:kern w:val="0"/>
          <w:sz w:val="22"/>
          <w:szCs w:val="22"/>
          <w:highlight w:val="yellow"/>
        </w:rPr>
        <w:t>c</w:t>
      </w:r>
      <w:r w:rsidR="008A1364" w:rsidRPr="008425FD">
        <w:rPr>
          <w:rFonts w:cs="Calibri"/>
          <w:bCs/>
          <w:color w:val="000000" w:themeColor="text1"/>
          <w:kern w:val="0"/>
          <w:sz w:val="22"/>
          <w:szCs w:val="22"/>
          <w:highlight w:val="yellow"/>
        </w:rPr>
        <w:t>ancer/</w:t>
      </w:r>
      <w:r w:rsidR="00BF5ED8">
        <w:rPr>
          <w:rFonts w:cs="Calibri"/>
          <w:bCs/>
          <w:color w:val="000000" w:themeColor="text1"/>
          <w:kern w:val="0"/>
          <w:sz w:val="22"/>
          <w:szCs w:val="22"/>
          <w:highlight w:val="yellow"/>
        </w:rPr>
        <w:t>p</w:t>
      </w:r>
      <w:r w:rsidR="008A1364" w:rsidRPr="008425FD">
        <w:rPr>
          <w:rFonts w:cs="Calibri"/>
          <w:bCs/>
          <w:color w:val="000000" w:themeColor="text1"/>
          <w:kern w:val="0"/>
          <w:sz w:val="22"/>
          <w:szCs w:val="22"/>
          <w:highlight w:val="yellow"/>
        </w:rPr>
        <w:t xml:space="preserve">rimary </w:t>
      </w:r>
      <w:r w:rsidR="00BF5ED8">
        <w:rPr>
          <w:rFonts w:cs="Calibri"/>
          <w:bCs/>
          <w:color w:val="000000" w:themeColor="text1"/>
          <w:kern w:val="0"/>
          <w:sz w:val="22"/>
          <w:szCs w:val="22"/>
          <w:highlight w:val="yellow"/>
        </w:rPr>
        <w:t>p</w:t>
      </w:r>
      <w:r w:rsidR="008A1364" w:rsidRPr="008425FD">
        <w:rPr>
          <w:rFonts w:cs="Calibri"/>
          <w:bCs/>
          <w:color w:val="000000" w:themeColor="text1"/>
          <w:kern w:val="0"/>
          <w:sz w:val="22"/>
          <w:szCs w:val="22"/>
          <w:highlight w:val="yellow"/>
        </w:rPr>
        <w:t xml:space="preserve">eritoneal </w:t>
      </w:r>
      <w:r w:rsidR="00BF5ED8">
        <w:rPr>
          <w:rFonts w:cs="Calibri"/>
          <w:bCs/>
          <w:color w:val="000000" w:themeColor="text1"/>
          <w:kern w:val="0"/>
          <w:sz w:val="22"/>
          <w:szCs w:val="22"/>
          <w:highlight w:val="yellow"/>
        </w:rPr>
        <w:t>c</w:t>
      </w:r>
      <w:r w:rsidR="008A1364" w:rsidRPr="008425FD">
        <w:rPr>
          <w:rFonts w:cs="Calibri"/>
          <w:bCs/>
          <w:color w:val="000000" w:themeColor="text1"/>
          <w:kern w:val="0"/>
          <w:sz w:val="22"/>
          <w:szCs w:val="22"/>
          <w:highlight w:val="yellow"/>
        </w:rPr>
        <w:t>ancer</w:t>
      </w:r>
      <w:r w:rsidR="008A1364">
        <w:rPr>
          <w:rFonts w:cs="Calibri"/>
          <w:bCs/>
          <w:color w:val="000000" w:themeColor="text1"/>
          <w:kern w:val="0"/>
          <w:sz w:val="22"/>
          <w:szCs w:val="22"/>
          <w:highlight w:val="yellow"/>
        </w:rPr>
        <w:t xml:space="preserve">, </w:t>
      </w:r>
      <w:r w:rsidRPr="001115E6">
        <w:rPr>
          <w:rFonts w:cs="Calibri"/>
          <w:noProof/>
          <w:color w:val="000000" w:themeColor="text1"/>
          <w:sz w:val="22"/>
          <w:szCs w:val="22"/>
          <w:highlight w:val="yellow"/>
        </w:rPr>
        <w:t>published data, clinical practice guidelines, peer-reviewed literature, clinical notes/medical records, laboratory test results, patient authorization and notice of release of information, copy of the patient’s health plan or prescription card (front and back)]</w:t>
      </w:r>
    </w:p>
    <w:p w14:paraId="17A7EE7F" w14:textId="77777777" w:rsidR="00B8447C" w:rsidRDefault="00B8447C" w:rsidP="00517633">
      <w:pPr>
        <w:spacing w:after="0" w:line="240" w:lineRule="auto"/>
        <w:rPr>
          <w:rFonts w:cs="Calibri"/>
          <w:color w:val="000000" w:themeColor="text1"/>
          <w:sz w:val="16"/>
          <w:szCs w:val="16"/>
        </w:rPr>
      </w:pPr>
      <w:bookmarkStart w:id="0" w:name="_Hlk215661314"/>
    </w:p>
    <w:p w14:paraId="4CEE4A6D" w14:textId="77777777" w:rsidR="00FF1C8D" w:rsidRPr="001115E6" w:rsidRDefault="00FF1C8D" w:rsidP="00517633">
      <w:pPr>
        <w:spacing w:after="0" w:line="240" w:lineRule="auto"/>
        <w:rPr>
          <w:rFonts w:cs="Calibri"/>
          <w:color w:val="000000" w:themeColor="text1"/>
          <w:sz w:val="16"/>
          <w:szCs w:val="16"/>
        </w:rPr>
      </w:pPr>
    </w:p>
    <w:bookmarkEnd w:id="0"/>
    <w:p w14:paraId="0D4AB795" w14:textId="69EEF14B" w:rsidR="008A1364" w:rsidRPr="00DF2E6C" w:rsidRDefault="00FF1C8D" w:rsidP="008A1364">
      <w:pPr>
        <w:spacing w:after="0" w:line="240" w:lineRule="auto"/>
        <w:rPr>
          <w:rFonts w:cs="Calibri"/>
          <w:color w:val="000000" w:themeColor="text1"/>
          <w:sz w:val="16"/>
          <w:szCs w:val="16"/>
        </w:rPr>
      </w:pPr>
      <w:r w:rsidRPr="001115E6">
        <w:rPr>
          <w:rFonts w:cs="Calibri"/>
          <w:color w:val="000000" w:themeColor="text1"/>
          <w:sz w:val="16"/>
          <w:szCs w:val="16"/>
        </w:rPr>
        <w:t>ICD-10-CM</w:t>
      </w:r>
      <w:r w:rsidRPr="00843208">
        <w:rPr>
          <w:rFonts w:cs="Calibri"/>
          <w:color w:val="000000" w:themeColor="text1"/>
          <w:sz w:val="16"/>
          <w:szCs w:val="16"/>
        </w:rPr>
        <w:t xml:space="preserve">, </w:t>
      </w:r>
      <w:r w:rsidRPr="00843208">
        <w:rPr>
          <w:i/>
          <w:iCs/>
          <w:color w:val="0A0A0A"/>
          <w:sz w:val="16"/>
          <w:szCs w:val="16"/>
          <w:shd w:val="clear" w:color="auto" w:fill="FFFFFF"/>
        </w:rPr>
        <w:t>International Classification of Diseases, 10th Revision, Clinical Modification</w:t>
      </w:r>
      <w:r w:rsidRPr="00843208">
        <w:rPr>
          <w:color w:val="0A0A0A"/>
          <w:sz w:val="16"/>
          <w:szCs w:val="16"/>
          <w:shd w:val="clear" w:color="auto" w:fill="FFFFFF"/>
        </w:rPr>
        <w:t>;</w:t>
      </w:r>
      <w:r w:rsidRPr="00843208">
        <w:rPr>
          <w:i/>
          <w:iCs/>
          <w:color w:val="0A0A0A"/>
          <w:sz w:val="16"/>
          <w:szCs w:val="16"/>
          <w:shd w:val="clear" w:color="auto" w:fill="FFFFFF"/>
        </w:rPr>
        <w:t xml:space="preserve"> </w:t>
      </w:r>
      <w:r w:rsidRPr="00843208">
        <w:rPr>
          <w:rFonts w:cs="Calibri"/>
          <w:color w:val="000000" w:themeColor="text1"/>
          <w:sz w:val="16"/>
          <w:szCs w:val="16"/>
        </w:rPr>
        <w:t>IV, intravenous</w:t>
      </w:r>
      <w:r w:rsidR="00BC374B">
        <w:rPr>
          <w:rFonts w:cs="Calibri"/>
          <w:color w:val="000000" w:themeColor="text1"/>
          <w:sz w:val="16"/>
          <w:szCs w:val="16"/>
        </w:rPr>
        <w:t>;</w:t>
      </w:r>
      <w:r w:rsidR="008A1364">
        <w:rPr>
          <w:rFonts w:cs="Calibri"/>
          <w:color w:val="000000" w:themeColor="text1"/>
          <w:sz w:val="16"/>
          <w:szCs w:val="16"/>
        </w:rPr>
        <w:t xml:space="preserve"> NCCN, </w:t>
      </w:r>
      <w:r w:rsidR="008A1364" w:rsidRPr="00956BBA">
        <w:rPr>
          <w:rFonts w:cs="Calibri"/>
          <w:color w:val="000000" w:themeColor="text1"/>
          <w:sz w:val="16"/>
          <w:szCs w:val="16"/>
        </w:rPr>
        <w:t>National Comprehensive Cancer Network® (NCCN®).</w:t>
      </w:r>
    </w:p>
    <w:p w14:paraId="77A724B5" w14:textId="51BFB4B3" w:rsidR="00367A43" w:rsidRPr="001115E6" w:rsidRDefault="00367A43" w:rsidP="00367A43">
      <w:pPr>
        <w:spacing w:after="0" w:line="240" w:lineRule="auto"/>
        <w:rPr>
          <w:rFonts w:cs="Calibri"/>
          <w:color w:val="000000" w:themeColor="text1"/>
          <w:sz w:val="16"/>
          <w:szCs w:val="16"/>
        </w:rPr>
      </w:pPr>
      <w:r>
        <w:rPr>
          <w:rFonts w:cs="Calibri"/>
          <w:color w:val="000000" w:themeColor="text1"/>
          <w:sz w:val="16"/>
          <w:szCs w:val="16"/>
        </w:rPr>
        <w:t>*</w:t>
      </w:r>
      <w:r w:rsidRPr="009F2EF7">
        <w:rPr>
          <w:rFonts w:cs="Calibri"/>
          <w:color w:val="000000" w:themeColor="text1"/>
          <w:sz w:val="16"/>
          <w:szCs w:val="16"/>
        </w:rPr>
        <w:t>NCCN makes no warranties of any kind whatsoever regarding their content, use or application and disclaims any responsibility for their application or use in any way.</w:t>
      </w:r>
      <w:r w:rsidR="00B44CF5" w:rsidRPr="00B44CF5">
        <w:rPr>
          <w:rFonts w:cs="Calibri"/>
          <w:color w:val="000000" w:themeColor="text1"/>
          <w:sz w:val="16"/>
          <w:szCs w:val="16"/>
          <w:vertAlign w:val="superscript"/>
        </w:rPr>
        <w:t>2</w:t>
      </w:r>
    </w:p>
    <w:p w14:paraId="53EB5195" w14:textId="77777777" w:rsidR="00FF1C8D" w:rsidRPr="00843208" w:rsidRDefault="00FF1C8D" w:rsidP="009A2A38">
      <w:pPr>
        <w:spacing w:after="0" w:line="240" w:lineRule="auto"/>
        <w:rPr>
          <w:rFonts w:cs="Calibri"/>
          <w:color w:val="000000" w:themeColor="text1"/>
          <w:sz w:val="16"/>
          <w:szCs w:val="16"/>
        </w:rPr>
      </w:pPr>
    </w:p>
    <w:p w14:paraId="70E606F3" w14:textId="35381BE6" w:rsidR="006B54E6" w:rsidRDefault="009F397E" w:rsidP="006B54E6">
      <w:pPr>
        <w:spacing w:after="0" w:line="240" w:lineRule="auto"/>
        <w:rPr>
          <w:rFonts w:cs="Times New Roman"/>
          <w:color w:val="000000" w:themeColor="text1"/>
          <w:kern w:val="0"/>
          <w:sz w:val="16"/>
          <w:szCs w:val="16"/>
        </w:rPr>
      </w:pPr>
      <w:r w:rsidRPr="001115E6">
        <w:rPr>
          <w:rFonts w:cs="Calibri"/>
          <w:b/>
          <w:bCs/>
          <w:color w:val="000000" w:themeColor="text1"/>
          <w:sz w:val="16"/>
          <w:szCs w:val="16"/>
        </w:rPr>
        <w:t xml:space="preserve">Reference: </w:t>
      </w:r>
      <w:r w:rsidR="009833DF" w:rsidRPr="001115E6">
        <w:rPr>
          <w:rFonts w:cs="Calibri"/>
          <w:b/>
          <w:bCs/>
          <w:color w:val="000000" w:themeColor="text1"/>
          <w:sz w:val="16"/>
          <w:szCs w:val="16"/>
        </w:rPr>
        <w:t>1.</w:t>
      </w:r>
      <w:r w:rsidR="009833DF" w:rsidRPr="001115E6">
        <w:rPr>
          <w:rFonts w:cs="Calibri"/>
          <w:color w:val="000000" w:themeColor="text1"/>
          <w:sz w:val="16"/>
          <w:szCs w:val="16"/>
        </w:rPr>
        <w:t xml:space="preserve"> </w:t>
      </w:r>
      <w:r w:rsidR="009833DF" w:rsidRPr="001115E6">
        <w:rPr>
          <w:rFonts w:cs="Times New Roman"/>
          <w:color w:val="000000" w:themeColor="text1"/>
          <w:kern w:val="0"/>
          <w:sz w:val="16"/>
          <w:szCs w:val="16"/>
        </w:rPr>
        <w:t xml:space="preserve">LIFYORLI (relacorilant) Prescribing Information. Corcept </w:t>
      </w:r>
      <w:r w:rsidR="00277B8B" w:rsidRPr="001115E6">
        <w:rPr>
          <w:rFonts w:cs="Times New Roman"/>
          <w:color w:val="000000" w:themeColor="text1"/>
          <w:kern w:val="0"/>
          <w:sz w:val="16"/>
          <w:szCs w:val="16"/>
        </w:rPr>
        <w:t>Therapeutics</w:t>
      </w:r>
      <w:r w:rsidR="009833DF" w:rsidRPr="001115E6">
        <w:rPr>
          <w:rFonts w:cs="Times New Roman"/>
          <w:color w:val="000000" w:themeColor="text1"/>
          <w:kern w:val="0"/>
          <w:sz w:val="16"/>
          <w:szCs w:val="16"/>
        </w:rPr>
        <w:t>, Inc. 2026.</w:t>
      </w:r>
      <w:r w:rsidR="008A1364">
        <w:rPr>
          <w:rFonts w:cs="Times New Roman"/>
          <w:b/>
          <w:bCs/>
          <w:color w:val="000000" w:themeColor="text1"/>
          <w:kern w:val="0"/>
          <w:sz w:val="16"/>
          <w:szCs w:val="16"/>
        </w:rPr>
        <w:t xml:space="preserve"> </w:t>
      </w:r>
      <w:r w:rsidR="008A1364" w:rsidRPr="00DF2E6C">
        <w:rPr>
          <w:rFonts w:cs="Times New Roman"/>
          <w:b/>
          <w:bCs/>
          <w:color w:val="000000" w:themeColor="text1"/>
          <w:kern w:val="0"/>
          <w:sz w:val="16"/>
          <w:szCs w:val="16"/>
        </w:rPr>
        <w:t>2.</w:t>
      </w:r>
      <w:r w:rsidR="008A1364" w:rsidRPr="00DF2E6C">
        <w:rPr>
          <w:rFonts w:cs="Times New Roman"/>
          <w:color w:val="000000" w:themeColor="text1"/>
          <w:kern w:val="0"/>
          <w:sz w:val="16"/>
          <w:szCs w:val="16"/>
        </w:rPr>
        <w:t xml:space="preserve"> </w:t>
      </w:r>
      <w:r w:rsidR="008A1364" w:rsidRPr="00956BBA">
        <w:rPr>
          <w:rFonts w:cs="Times New Roman"/>
          <w:color w:val="000000" w:themeColor="text1"/>
          <w:kern w:val="0"/>
          <w:sz w:val="16"/>
          <w:szCs w:val="16"/>
        </w:rPr>
        <w:t>Referenced with permission from the NCCN Clinical Practice Guidelines in Oncology (NCCN Guidelines</w:t>
      </w:r>
      <w:r w:rsidR="00BF5ED8" w:rsidRPr="00956BBA">
        <w:rPr>
          <w:rFonts w:cs="Calibri"/>
          <w:color w:val="000000" w:themeColor="text1"/>
          <w:sz w:val="16"/>
          <w:szCs w:val="16"/>
        </w:rPr>
        <w:t>®</w:t>
      </w:r>
      <w:r w:rsidR="008A1364" w:rsidRPr="00956BBA">
        <w:rPr>
          <w:rFonts w:cs="Times New Roman"/>
          <w:color w:val="000000" w:themeColor="text1"/>
          <w:kern w:val="0"/>
          <w:sz w:val="16"/>
          <w:szCs w:val="16"/>
        </w:rPr>
        <w:t xml:space="preserve">) for </w:t>
      </w:r>
      <w:r w:rsidR="006B54E6" w:rsidRPr="00942C2B">
        <w:rPr>
          <w:rFonts w:cs="Times New Roman"/>
          <w:color w:val="000000" w:themeColor="text1"/>
          <w:kern w:val="0"/>
          <w:sz w:val="16"/>
          <w:szCs w:val="16"/>
        </w:rPr>
        <w:t>Ovarian Cancer Including Fallopian Tube Cancer and Primary </w:t>
      </w:r>
    </w:p>
    <w:p w14:paraId="4A8A283C" w14:textId="4C0ACF1A" w:rsidR="009A2A38" w:rsidRPr="001115E6" w:rsidRDefault="006B54E6" w:rsidP="006B54E6">
      <w:pPr>
        <w:spacing w:after="0" w:line="240" w:lineRule="auto"/>
        <w:rPr>
          <w:rFonts w:cs="Calibri"/>
          <w:color w:val="000000" w:themeColor="text1"/>
          <w:sz w:val="16"/>
          <w:szCs w:val="16"/>
          <w:highlight w:val="yellow"/>
        </w:rPr>
      </w:pPr>
      <w:r w:rsidRPr="00942C2B">
        <w:rPr>
          <w:rFonts w:cs="Times New Roman"/>
          <w:color w:val="000000" w:themeColor="text1"/>
          <w:kern w:val="0"/>
          <w:sz w:val="16"/>
          <w:szCs w:val="16"/>
        </w:rPr>
        <w:t>Peritoneal Cancer</w:t>
      </w:r>
      <w:r w:rsidR="008A1364" w:rsidRPr="00956BBA">
        <w:rPr>
          <w:rFonts w:cs="Times New Roman"/>
          <w:color w:val="000000" w:themeColor="text1"/>
          <w:kern w:val="0"/>
          <w:sz w:val="16"/>
          <w:szCs w:val="16"/>
        </w:rPr>
        <w:t xml:space="preserve"> V.4.2026. </w:t>
      </w:r>
      <w:r w:rsidR="00BF5ED8">
        <w:rPr>
          <w:rFonts w:ascii="Aptos" w:hAnsi="Aptos" w:cs="Times New Roman"/>
          <w:color w:val="000000" w:themeColor="text1"/>
          <w:kern w:val="0"/>
          <w:sz w:val="16"/>
          <w:szCs w:val="16"/>
        </w:rPr>
        <w:t>©</w:t>
      </w:r>
      <w:r w:rsidR="00BF5ED8">
        <w:rPr>
          <w:rFonts w:cs="Times New Roman"/>
          <w:color w:val="000000" w:themeColor="text1"/>
          <w:kern w:val="0"/>
          <w:sz w:val="16"/>
          <w:szCs w:val="16"/>
        </w:rPr>
        <w:t xml:space="preserve"> </w:t>
      </w:r>
      <w:r w:rsidR="008A1364" w:rsidRPr="00956BBA">
        <w:rPr>
          <w:rFonts w:cs="Times New Roman"/>
          <w:color w:val="000000" w:themeColor="text1"/>
          <w:kern w:val="0"/>
          <w:sz w:val="16"/>
          <w:szCs w:val="16"/>
        </w:rPr>
        <w:t>National Comprehensive Cancer Network, Inc. 2026. All rights reserved. Accessed April 13, 2026. To view the most recent and complete version of the guideline, go online to NCCN.org.</w:t>
      </w:r>
      <w:r w:rsidR="008A1364">
        <w:rPr>
          <w:rFonts w:cs="Times New Roman"/>
          <w:color w:val="000000" w:themeColor="text1"/>
          <w:kern w:val="0"/>
          <w:sz w:val="16"/>
          <w:szCs w:val="16"/>
        </w:rPr>
        <w:t xml:space="preserve"> </w:t>
      </w:r>
      <w:r w:rsidR="008A1364">
        <w:rPr>
          <w:rFonts w:cs="Times New Roman"/>
          <w:b/>
          <w:bCs/>
          <w:color w:val="000000" w:themeColor="text1"/>
          <w:kern w:val="0"/>
          <w:sz w:val="16"/>
          <w:szCs w:val="16"/>
        </w:rPr>
        <w:t>3.</w:t>
      </w:r>
      <w:r w:rsidR="0028171B" w:rsidRPr="001115E6">
        <w:rPr>
          <w:rFonts w:cs="Times New Roman"/>
          <w:color w:val="000000" w:themeColor="text1"/>
          <w:kern w:val="0"/>
          <w:sz w:val="16"/>
          <w:szCs w:val="16"/>
        </w:rPr>
        <w:t xml:space="preserve"> </w:t>
      </w:r>
      <w:r w:rsidR="0028171B" w:rsidRPr="001115E6">
        <w:rPr>
          <w:rFonts w:cs="Helvetica"/>
          <w:kern w:val="0"/>
          <w:sz w:val="16"/>
          <w:szCs w:val="16"/>
        </w:rPr>
        <w:t xml:space="preserve">Olawaiye AB, Gladieff L, O’Malley DM, et al. Relacorilant and nab-paclitaxel in patients with platinum-resistant ovarian cancer (ROSELLA): an open-label, randomised, controlled, phase 3 trial. </w:t>
      </w:r>
      <w:r w:rsidR="0028171B" w:rsidRPr="001115E6">
        <w:rPr>
          <w:rFonts w:cs="Helvetica Neue"/>
          <w:i/>
          <w:iCs/>
          <w:kern w:val="0"/>
          <w:sz w:val="16"/>
          <w:szCs w:val="16"/>
        </w:rPr>
        <w:t xml:space="preserve">Lancet. </w:t>
      </w:r>
      <w:r w:rsidR="0028171B" w:rsidRPr="001115E6">
        <w:rPr>
          <w:rFonts w:cs="Helvetica"/>
          <w:kern w:val="0"/>
          <w:sz w:val="16"/>
          <w:szCs w:val="16"/>
        </w:rPr>
        <w:t xml:space="preserve">2025;405(10496):2205-2216. </w:t>
      </w:r>
      <w:r w:rsidR="00DC0AD8">
        <w:rPr>
          <w:rFonts w:cs="Helvetica"/>
          <w:b/>
          <w:bCs/>
          <w:kern w:val="0"/>
          <w:sz w:val="16"/>
          <w:szCs w:val="16"/>
        </w:rPr>
        <w:t>4</w:t>
      </w:r>
      <w:r w:rsidR="001D0C83" w:rsidRPr="001115E6">
        <w:rPr>
          <w:rFonts w:cs="Helvetica"/>
          <w:b/>
          <w:bCs/>
          <w:kern w:val="0"/>
          <w:sz w:val="16"/>
          <w:szCs w:val="16"/>
        </w:rPr>
        <w:t xml:space="preserve">. </w:t>
      </w:r>
      <w:r w:rsidR="001D0C83" w:rsidRPr="001115E6">
        <w:rPr>
          <w:rFonts w:cs="Helvetica"/>
          <w:color w:val="000000" w:themeColor="text1"/>
          <w:kern w:val="0"/>
          <w:sz w:val="16"/>
          <w:szCs w:val="16"/>
        </w:rPr>
        <w:t xml:space="preserve">Supplement to: Olawaiye AB, Gladieff L, O’Malley DM, et al. Relacorilant and nab-paclitaxel in patients with platinum-resistant ovarian cancer (ROSELLA): an open-label, </w:t>
      </w:r>
      <w:r w:rsidR="00423541">
        <w:rPr>
          <w:rFonts w:cs="Helvetica"/>
          <w:color w:val="000000" w:themeColor="text1"/>
          <w:kern w:val="0"/>
          <w:sz w:val="16"/>
          <w:szCs w:val="16"/>
        </w:rPr>
        <w:t>randomised</w:t>
      </w:r>
      <w:r w:rsidR="001D0C83" w:rsidRPr="001115E6">
        <w:rPr>
          <w:rFonts w:cs="Helvetica"/>
          <w:color w:val="000000" w:themeColor="text1"/>
          <w:kern w:val="0"/>
          <w:sz w:val="16"/>
          <w:szCs w:val="16"/>
        </w:rPr>
        <w:t xml:space="preserve">, controlled, phase 3 trial. </w:t>
      </w:r>
      <w:r w:rsidR="001D0C83" w:rsidRPr="001115E6">
        <w:rPr>
          <w:rFonts w:cs="Helvetica"/>
          <w:i/>
          <w:iCs/>
          <w:color w:val="000000" w:themeColor="text1"/>
          <w:kern w:val="0"/>
          <w:sz w:val="16"/>
          <w:szCs w:val="16"/>
        </w:rPr>
        <w:t>Lancet</w:t>
      </w:r>
      <w:r w:rsidR="001D0C83" w:rsidRPr="001115E6">
        <w:rPr>
          <w:rFonts w:cs="Helvetica"/>
          <w:color w:val="000000" w:themeColor="text1"/>
          <w:kern w:val="0"/>
          <w:sz w:val="16"/>
          <w:szCs w:val="16"/>
        </w:rPr>
        <w:t>. 2025;405(10496):2205-2216.</w:t>
      </w:r>
    </w:p>
    <w:p w14:paraId="76237874" w14:textId="77777777" w:rsidR="00620841" w:rsidRPr="001115E6" w:rsidRDefault="00620841" w:rsidP="006C4FB6">
      <w:pPr>
        <w:spacing w:after="0" w:line="240" w:lineRule="auto"/>
        <w:jc w:val="right"/>
        <w:rPr>
          <w:color w:val="000000"/>
          <w:sz w:val="16"/>
          <w:szCs w:val="16"/>
        </w:rPr>
      </w:pPr>
    </w:p>
    <w:p w14:paraId="2AFE178F" w14:textId="77777777" w:rsidR="00620841" w:rsidRPr="001115E6" w:rsidRDefault="00620841" w:rsidP="006C4FB6">
      <w:pPr>
        <w:spacing w:after="0" w:line="240" w:lineRule="auto"/>
        <w:jc w:val="right"/>
        <w:rPr>
          <w:color w:val="000000"/>
          <w:sz w:val="16"/>
          <w:szCs w:val="16"/>
        </w:rPr>
      </w:pPr>
    </w:p>
    <w:p w14:paraId="45C406A8" w14:textId="77777777" w:rsidR="00371260" w:rsidRDefault="00371260" w:rsidP="006C4FB6">
      <w:pPr>
        <w:spacing w:after="0" w:line="240" w:lineRule="auto"/>
        <w:jc w:val="right"/>
        <w:rPr>
          <w:rFonts w:ascii="Aptos" w:hAnsi="Aptos"/>
          <w:color w:val="000000"/>
          <w:sz w:val="16"/>
          <w:szCs w:val="16"/>
        </w:rPr>
      </w:pPr>
    </w:p>
    <w:p w14:paraId="3F4C7719" w14:textId="0F238879" w:rsidR="00666D14" w:rsidRPr="006C4FB6" w:rsidRDefault="00666D14" w:rsidP="006C4FB6">
      <w:pPr>
        <w:spacing w:after="0" w:line="240" w:lineRule="auto"/>
        <w:jc w:val="right"/>
        <w:rPr>
          <w:rFonts w:ascii="Aptos" w:hAnsi="Aptos" w:cs="Calibri"/>
          <w:color w:val="000000" w:themeColor="text1"/>
          <w:kern w:val="0"/>
          <w:sz w:val="16"/>
          <w:szCs w:val="16"/>
        </w:rPr>
      </w:pPr>
    </w:p>
    <w:sectPr w:rsidR="00666D14" w:rsidRPr="006C4FB6" w:rsidSect="001115E6">
      <w:footerReference w:type="even" r:id="rId13"/>
      <w:footerReference w:type="default" r:id="rId14"/>
      <w:pgSz w:w="12240" w:h="15840"/>
      <w:pgMar w:top="639"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A866D" w14:textId="77777777" w:rsidR="00182361" w:rsidRDefault="00182361" w:rsidP="00B01CC0">
      <w:pPr>
        <w:spacing w:after="0" w:line="240" w:lineRule="auto"/>
      </w:pPr>
      <w:r>
        <w:separator/>
      </w:r>
    </w:p>
  </w:endnote>
  <w:endnote w:type="continuationSeparator" w:id="0">
    <w:p w14:paraId="4400AB61" w14:textId="77777777" w:rsidR="00182361" w:rsidRDefault="00182361" w:rsidP="00B01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3923769"/>
      <w:docPartObj>
        <w:docPartGallery w:val="Page Numbers (Bottom of Page)"/>
        <w:docPartUnique/>
      </w:docPartObj>
    </w:sdtPr>
    <w:sdtContent>
      <w:p w14:paraId="14328450" w14:textId="3F825D60" w:rsidR="009A2D68" w:rsidRDefault="009A2D68" w:rsidP="0088513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69AD83" w14:textId="77777777" w:rsidR="009A2D68" w:rsidRDefault="009A2D68" w:rsidP="009A2D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87604060"/>
      <w:docPartObj>
        <w:docPartGallery w:val="Page Numbers (Bottom of Page)"/>
        <w:docPartUnique/>
      </w:docPartObj>
    </w:sdtPr>
    <w:sdtContent>
      <w:p w14:paraId="3B428E2A" w14:textId="00617046" w:rsidR="009A2D68" w:rsidRDefault="009A2D68" w:rsidP="0088513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4849C3" w14:textId="77777777" w:rsidR="009A2D68" w:rsidRDefault="009A2D68" w:rsidP="009A2D6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ED09C" w14:textId="77777777" w:rsidR="00182361" w:rsidRDefault="00182361" w:rsidP="00B01CC0">
      <w:pPr>
        <w:spacing w:after="0" w:line="240" w:lineRule="auto"/>
      </w:pPr>
      <w:r>
        <w:separator/>
      </w:r>
    </w:p>
  </w:footnote>
  <w:footnote w:type="continuationSeparator" w:id="0">
    <w:p w14:paraId="3FDD5399" w14:textId="77777777" w:rsidR="00182361" w:rsidRDefault="00182361" w:rsidP="00B01C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FDB"/>
    <w:multiLevelType w:val="hybridMultilevel"/>
    <w:tmpl w:val="A98A9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A141C2"/>
    <w:multiLevelType w:val="hybridMultilevel"/>
    <w:tmpl w:val="A6B60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124407"/>
    <w:multiLevelType w:val="hybridMultilevel"/>
    <w:tmpl w:val="DF348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237EA4"/>
    <w:multiLevelType w:val="hybridMultilevel"/>
    <w:tmpl w:val="74FC5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D5354F"/>
    <w:multiLevelType w:val="hybridMultilevel"/>
    <w:tmpl w:val="A3602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EF0ECF"/>
    <w:multiLevelType w:val="hybridMultilevel"/>
    <w:tmpl w:val="A8EAA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956B6E"/>
    <w:multiLevelType w:val="hybridMultilevel"/>
    <w:tmpl w:val="8CF8A758"/>
    <w:lvl w:ilvl="0" w:tplc="7C6EF834">
      <w:numFmt w:val="bullet"/>
      <w:lvlText w:val="•"/>
      <w:lvlJc w:val="left"/>
      <w:pPr>
        <w:ind w:left="0" w:hanging="360"/>
      </w:pPr>
      <w:rPr>
        <w:rFonts w:ascii="Times New Roman" w:eastAsiaTheme="minorHAnsi"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16cid:durableId="1253394160">
    <w:abstractNumId w:val="2"/>
  </w:num>
  <w:num w:numId="2" w16cid:durableId="851264022">
    <w:abstractNumId w:val="0"/>
  </w:num>
  <w:num w:numId="3" w16cid:durableId="1927109853">
    <w:abstractNumId w:val="4"/>
  </w:num>
  <w:num w:numId="4" w16cid:durableId="207425152">
    <w:abstractNumId w:val="5"/>
  </w:num>
  <w:num w:numId="5" w16cid:durableId="2057160">
    <w:abstractNumId w:val="6"/>
  </w:num>
  <w:num w:numId="6" w16cid:durableId="1169297969">
    <w:abstractNumId w:val="1"/>
  </w:num>
  <w:num w:numId="7" w16cid:durableId="3521510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118"/>
    <w:rsid w:val="00011B7C"/>
    <w:rsid w:val="00016D9E"/>
    <w:rsid w:val="00017D59"/>
    <w:rsid w:val="00021890"/>
    <w:rsid w:val="0003351F"/>
    <w:rsid w:val="00034789"/>
    <w:rsid w:val="000558CF"/>
    <w:rsid w:val="00061B29"/>
    <w:rsid w:val="00070A9E"/>
    <w:rsid w:val="00072D16"/>
    <w:rsid w:val="00082315"/>
    <w:rsid w:val="00092679"/>
    <w:rsid w:val="000973A5"/>
    <w:rsid w:val="000B2CA9"/>
    <w:rsid w:val="000D0C3B"/>
    <w:rsid w:val="000D59DC"/>
    <w:rsid w:val="000E7B4D"/>
    <w:rsid w:val="000F4ADD"/>
    <w:rsid w:val="001115E6"/>
    <w:rsid w:val="00120E33"/>
    <w:rsid w:val="00152E14"/>
    <w:rsid w:val="001708C9"/>
    <w:rsid w:val="00170AF6"/>
    <w:rsid w:val="001731D3"/>
    <w:rsid w:val="00182361"/>
    <w:rsid w:val="00193B15"/>
    <w:rsid w:val="001A18BB"/>
    <w:rsid w:val="001A252C"/>
    <w:rsid w:val="001D0C83"/>
    <w:rsid w:val="001D7ADA"/>
    <w:rsid w:val="002048AB"/>
    <w:rsid w:val="002049B1"/>
    <w:rsid w:val="00207B83"/>
    <w:rsid w:val="00217607"/>
    <w:rsid w:val="00217836"/>
    <w:rsid w:val="002326FE"/>
    <w:rsid w:val="002355E7"/>
    <w:rsid w:val="00243754"/>
    <w:rsid w:val="0024529D"/>
    <w:rsid w:val="002463F7"/>
    <w:rsid w:val="0024704B"/>
    <w:rsid w:val="002662F2"/>
    <w:rsid w:val="00277B8B"/>
    <w:rsid w:val="0028171B"/>
    <w:rsid w:val="002909F7"/>
    <w:rsid w:val="002B1035"/>
    <w:rsid w:val="002B23B6"/>
    <w:rsid w:val="002B4FCD"/>
    <w:rsid w:val="002B5876"/>
    <w:rsid w:val="002C5059"/>
    <w:rsid w:val="002C5451"/>
    <w:rsid w:val="002D2B9F"/>
    <w:rsid w:val="002D6EFA"/>
    <w:rsid w:val="00303D6E"/>
    <w:rsid w:val="00323661"/>
    <w:rsid w:val="0032512D"/>
    <w:rsid w:val="00337CD4"/>
    <w:rsid w:val="00341F1E"/>
    <w:rsid w:val="00350479"/>
    <w:rsid w:val="00355B97"/>
    <w:rsid w:val="00356BB3"/>
    <w:rsid w:val="00367A43"/>
    <w:rsid w:val="00367BF7"/>
    <w:rsid w:val="00370133"/>
    <w:rsid w:val="00371260"/>
    <w:rsid w:val="00385B6F"/>
    <w:rsid w:val="0038625B"/>
    <w:rsid w:val="0039254B"/>
    <w:rsid w:val="003C078A"/>
    <w:rsid w:val="003C36C6"/>
    <w:rsid w:val="003C5B2A"/>
    <w:rsid w:val="003C68F3"/>
    <w:rsid w:val="003D5112"/>
    <w:rsid w:val="003D57F4"/>
    <w:rsid w:val="003D6230"/>
    <w:rsid w:val="003E227D"/>
    <w:rsid w:val="0040433E"/>
    <w:rsid w:val="00415C5D"/>
    <w:rsid w:val="00423541"/>
    <w:rsid w:val="00424930"/>
    <w:rsid w:val="00425242"/>
    <w:rsid w:val="00436CEE"/>
    <w:rsid w:val="00442556"/>
    <w:rsid w:val="00446796"/>
    <w:rsid w:val="00446E93"/>
    <w:rsid w:val="00482CAB"/>
    <w:rsid w:val="0048317E"/>
    <w:rsid w:val="00486317"/>
    <w:rsid w:val="00490DFE"/>
    <w:rsid w:val="004971EB"/>
    <w:rsid w:val="004A004A"/>
    <w:rsid w:val="004A18AF"/>
    <w:rsid w:val="004A69A6"/>
    <w:rsid w:val="004B55DB"/>
    <w:rsid w:val="004B644E"/>
    <w:rsid w:val="004C7723"/>
    <w:rsid w:val="004F6325"/>
    <w:rsid w:val="00517633"/>
    <w:rsid w:val="00527335"/>
    <w:rsid w:val="0053591B"/>
    <w:rsid w:val="0053673F"/>
    <w:rsid w:val="0054227B"/>
    <w:rsid w:val="00544231"/>
    <w:rsid w:val="00552DE2"/>
    <w:rsid w:val="005530A5"/>
    <w:rsid w:val="00560C32"/>
    <w:rsid w:val="005636F1"/>
    <w:rsid w:val="00584736"/>
    <w:rsid w:val="00586BC8"/>
    <w:rsid w:val="00587B95"/>
    <w:rsid w:val="005B4B63"/>
    <w:rsid w:val="005B5921"/>
    <w:rsid w:val="005B75DF"/>
    <w:rsid w:val="005D17BA"/>
    <w:rsid w:val="005E5C57"/>
    <w:rsid w:val="005E64B6"/>
    <w:rsid w:val="005F7395"/>
    <w:rsid w:val="0060312C"/>
    <w:rsid w:val="00613068"/>
    <w:rsid w:val="00620841"/>
    <w:rsid w:val="00626153"/>
    <w:rsid w:val="00631D02"/>
    <w:rsid w:val="00633432"/>
    <w:rsid w:val="006347D8"/>
    <w:rsid w:val="00635A6E"/>
    <w:rsid w:val="00666D14"/>
    <w:rsid w:val="00670E0B"/>
    <w:rsid w:val="0069278C"/>
    <w:rsid w:val="006B54E6"/>
    <w:rsid w:val="006C2E21"/>
    <w:rsid w:val="006C4FB6"/>
    <w:rsid w:val="006D2289"/>
    <w:rsid w:val="006D2E4B"/>
    <w:rsid w:val="006E3FBA"/>
    <w:rsid w:val="0073024B"/>
    <w:rsid w:val="00732444"/>
    <w:rsid w:val="00733B63"/>
    <w:rsid w:val="007473C5"/>
    <w:rsid w:val="00767909"/>
    <w:rsid w:val="007B2B41"/>
    <w:rsid w:val="007B2F55"/>
    <w:rsid w:val="007F2005"/>
    <w:rsid w:val="007F22D0"/>
    <w:rsid w:val="007F5D49"/>
    <w:rsid w:val="00807994"/>
    <w:rsid w:val="00812CF2"/>
    <w:rsid w:val="00812D14"/>
    <w:rsid w:val="008173C2"/>
    <w:rsid w:val="00841DC4"/>
    <w:rsid w:val="00843208"/>
    <w:rsid w:val="00847012"/>
    <w:rsid w:val="00881A30"/>
    <w:rsid w:val="00884C50"/>
    <w:rsid w:val="008A1364"/>
    <w:rsid w:val="008A5E72"/>
    <w:rsid w:val="008A64A8"/>
    <w:rsid w:val="008C1141"/>
    <w:rsid w:val="008C3DE7"/>
    <w:rsid w:val="008C7895"/>
    <w:rsid w:val="008E311B"/>
    <w:rsid w:val="008F0C67"/>
    <w:rsid w:val="008F516B"/>
    <w:rsid w:val="00907C4F"/>
    <w:rsid w:val="009404B0"/>
    <w:rsid w:val="00960722"/>
    <w:rsid w:val="00975203"/>
    <w:rsid w:val="009833DF"/>
    <w:rsid w:val="00990BD6"/>
    <w:rsid w:val="00993455"/>
    <w:rsid w:val="00994F9E"/>
    <w:rsid w:val="009A2A38"/>
    <w:rsid w:val="009A2D68"/>
    <w:rsid w:val="009A353C"/>
    <w:rsid w:val="009B493B"/>
    <w:rsid w:val="009B6B79"/>
    <w:rsid w:val="009C7118"/>
    <w:rsid w:val="009D0118"/>
    <w:rsid w:val="009D011E"/>
    <w:rsid w:val="009E5C13"/>
    <w:rsid w:val="009E60B5"/>
    <w:rsid w:val="009E6C23"/>
    <w:rsid w:val="009F2EF7"/>
    <w:rsid w:val="009F397E"/>
    <w:rsid w:val="00A01540"/>
    <w:rsid w:val="00A02EFE"/>
    <w:rsid w:val="00A16DD5"/>
    <w:rsid w:val="00A23AE3"/>
    <w:rsid w:val="00A32A13"/>
    <w:rsid w:val="00A346CD"/>
    <w:rsid w:val="00A36B10"/>
    <w:rsid w:val="00A548F9"/>
    <w:rsid w:val="00A63B93"/>
    <w:rsid w:val="00A85980"/>
    <w:rsid w:val="00A86BBC"/>
    <w:rsid w:val="00A92FB4"/>
    <w:rsid w:val="00AB5209"/>
    <w:rsid w:val="00AB6FF9"/>
    <w:rsid w:val="00AF0BA4"/>
    <w:rsid w:val="00B01CC0"/>
    <w:rsid w:val="00B44CF5"/>
    <w:rsid w:val="00B71A52"/>
    <w:rsid w:val="00B7446E"/>
    <w:rsid w:val="00B75E83"/>
    <w:rsid w:val="00B808B5"/>
    <w:rsid w:val="00B8447C"/>
    <w:rsid w:val="00B879DA"/>
    <w:rsid w:val="00B87D67"/>
    <w:rsid w:val="00B92FA0"/>
    <w:rsid w:val="00BA1AFF"/>
    <w:rsid w:val="00BA28F0"/>
    <w:rsid w:val="00BB3DEB"/>
    <w:rsid w:val="00BC374B"/>
    <w:rsid w:val="00BE782C"/>
    <w:rsid w:val="00BF5ED8"/>
    <w:rsid w:val="00C04D32"/>
    <w:rsid w:val="00C06088"/>
    <w:rsid w:val="00C142CD"/>
    <w:rsid w:val="00C15AB3"/>
    <w:rsid w:val="00C3129D"/>
    <w:rsid w:val="00C36C1F"/>
    <w:rsid w:val="00C63DBA"/>
    <w:rsid w:val="00C72669"/>
    <w:rsid w:val="00C82D30"/>
    <w:rsid w:val="00C91410"/>
    <w:rsid w:val="00CA14F7"/>
    <w:rsid w:val="00CD7F60"/>
    <w:rsid w:val="00CF1268"/>
    <w:rsid w:val="00D00EA6"/>
    <w:rsid w:val="00D03C5F"/>
    <w:rsid w:val="00D1438F"/>
    <w:rsid w:val="00D17897"/>
    <w:rsid w:val="00D26920"/>
    <w:rsid w:val="00D36EBB"/>
    <w:rsid w:val="00D40EAD"/>
    <w:rsid w:val="00D577D1"/>
    <w:rsid w:val="00D746F6"/>
    <w:rsid w:val="00D76495"/>
    <w:rsid w:val="00D769F0"/>
    <w:rsid w:val="00D84AED"/>
    <w:rsid w:val="00DA09A9"/>
    <w:rsid w:val="00DA1C69"/>
    <w:rsid w:val="00DC0AD8"/>
    <w:rsid w:val="00DE6444"/>
    <w:rsid w:val="00DF2B87"/>
    <w:rsid w:val="00E00617"/>
    <w:rsid w:val="00E04422"/>
    <w:rsid w:val="00E059F0"/>
    <w:rsid w:val="00E133F0"/>
    <w:rsid w:val="00E25345"/>
    <w:rsid w:val="00E4270C"/>
    <w:rsid w:val="00E60B60"/>
    <w:rsid w:val="00E83181"/>
    <w:rsid w:val="00E86102"/>
    <w:rsid w:val="00E94E0F"/>
    <w:rsid w:val="00EB14DF"/>
    <w:rsid w:val="00EB18D7"/>
    <w:rsid w:val="00EB24D3"/>
    <w:rsid w:val="00EC231B"/>
    <w:rsid w:val="00EC6703"/>
    <w:rsid w:val="00EC7E5E"/>
    <w:rsid w:val="00EC7F28"/>
    <w:rsid w:val="00ED3ABB"/>
    <w:rsid w:val="00EE0090"/>
    <w:rsid w:val="00EE4580"/>
    <w:rsid w:val="00EF6786"/>
    <w:rsid w:val="00F00A66"/>
    <w:rsid w:val="00F06A66"/>
    <w:rsid w:val="00F15E0B"/>
    <w:rsid w:val="00F21F4B"/>
    <w:rsid w:val="00F65BAF"/>
    <w:rsid w:val="00F94B01"/>
    <w:rsid w:val="00FA163E"/>
    <w:rsid w:val="00FC48D8"/>
    <w:rsid w:val="00FF1C8D"/>
    <w:rsid w:val="00FF6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FC387"/>
  <w15:chartTrackingRefBased/>
  <w15:docId w15:val="{93E266C3-72C1-0C42-96E0-7E79C09E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118"/>
  </w:style>
  <w:style w:type="paragraph" w:styleId="Heading1">
    <w:name w:val="heading 1"/>
    <w:basedOn w:val="Normal"/>
    <w:next w:val="Normal"/>
    <w:link w:val="Heading1Char"/>
    <w:uiPriority w:val="9"/>
    <w:qFormat/>
    <w:rsid w:val="009C71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71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71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71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71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71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1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1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1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1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71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71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71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71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71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1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1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118"/>
    <w:rPr>
      <w:rFonts w:eastAsiaTheme="majorEastAsia" w:cstheme="majorBidi"/>
      <w:color w:val="272727" w:themeColor="text1" w:themeTint="D8"/>
    </w:rPr>
  </w:style>
  <w:style w:type="paragraph" w:styleId="Title">
    <w:name w:val="Title"/>
    <w:basedOn w:val="Normal"/>
    <w:next w:val="Normal"/>
    <w:link w:val="TitleChar"/>
    <w:uiPriority w:val="10"/>
    <w:qFormat/>
    <w:rsid w:val="009C71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1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1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1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118"/>
    <w:pPr>
      <w:spacing w:before="160"/>
      <w:jc w:val="center"/>
    </w:pPr>
    <w:rPr>
      <w:i/>
      <w:iCs/>
      <w:color w:val="404040" w:themeColor="text1" w:themeTint="BF"/>
    </w:rPr>
  </w:style>
  <w:style w:type="character" w:customStyle="1" w:styleId="QuoteChar">
    <w:name w:val="Quote Char"/>
    <w:basedOn w:val="DefaultParagraphFont"/>
    <w:link w:val="Quote"/>
    <w:uiPriority w:val="29"/>
    <w:rsid w:val="009C7118"/>
    <w:rPr>
      <w:i/>
      <w:iCs/>
      <w:color w:val="404040" w:themeColor="text1" w:themeTint="BF"/>
    </w:rPr>
  </w:style>
  <w:style w:type="paragraph" w:styleId="ListParagraph">
    <w:name w:val="List Paragraph"/>
    <w:basedOn w:val="Normal"/>
    <w:uiPriority w:val="34"/>
    <w:qFormat/>
    <w:rsid w:val="009C7118"/>
    <w:pPr>
      <w:ind w:left="720"/>
      <w:contextualSpacing/>
    </w:pPr>
  </w:style>
  <w:style w:type="character" w:styleId="IntenseEmphasis">
    <w:name w:val="Intense Emphasis"/>
    <w:basedOn w:val="DefaultParagraphFont"/>
    <w:uiPriority w:val="21"/>
    <w:qFormat/>
    <w:rsid w:val="009C7118"/>
    <w:rPr>
      <w:i/>
      <w:iCs/>
      <w:color w:val="0F4761" w:themeColor="accent1" w:themeShade="BF"/>
    </w:rPr>
  </w:style>
  <w:style w:type="paragraph" w:styleId="IntenseQuote">
    <w:name w:val="Intense Quote"/>
    <w:basedOn w:val="Normal"/>
    <w:next w:val="Normal"/>
    <w:link w:val="IntenseQuoteChar"/>
    <w:uiPriority w:val="30"/>
    <w:qFormat/>
    <w:rsid w:val="009C71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7118"/>
    <w:rPr>
      <w:i/>
      <w:iCs/>
      <w:color w:val="0F4761" w:themeColor="accent1" w:themeShade="BF"/>
    </w:rPr>
  </w:style>
  <w:style w:type="character" w:styleId="IntenseReference">
    <w:name w:val="Intense Reference"/>
    <w:basedOn w:val="DefaultParagraphFont"/>
    <w:uiPriority w:val="32"/>
    <w:qFormat/>
    <w:rsid w:val="009C7118"/>
    <w:rPr>
      <w:b/>
      <w:bCs/>
      <w:smallCaps/>
      <w:color w:val="0F4761" w:themeColor="accent1" w:themeShade="BF"/>
      <w:spacing w:val="5"/>
    </w:rPr>
  </w:style>
  <w:style w:type="character" w:styleId="Strong">
    <w:name w:val="Strong"/>
    <w:basedOn w:val="DefaultParagraphFont"/>
    <w:uiPriority w:val="22"/>
    <w:qFormat/>
    <w:rsid w:val="009C7118"/>
    <w:rPr>
      <w:b/>
      <w:bCs/>
    </w:rPr>
  </w:style>
  <w:style w:type="paragraph" w:styleId="Revision">
    <w:name w:val="Revision"/>
    <w:hidden/>
    <w:uiPriority w:val="99"/>
    <w:semiHidden/>
    <w:rsid w:val="00552DE2"/>
    <w:pPr>
      <w:spacing w:after="0" w:line="240" w:lineRule="auto"/>
    </w:pPr>
  </w:style>
  <w:style w:type="character" w:styleId="CommentReference">
    <w:name w:val="annotation reference"/>
    <w:basedOn w:val="DefaultParagraphFont"/>
    <w:uiPriority w:val="99"/>
    <w:semiHidden/>
    <w:unhideWhenUsed/>
    <w:rsid w:val="00120E33"/>
    <w:rPr>
      <w:sz w:val="16"/>
      <w:szCs w:val="16"/>
    </w:rPr>
  </w:style>
  <w:style w:type="paragraph" w:styleId="CommentText">
    <w:name w:val="annotation text"/>
    <w:basedOn w:val="Normal"/>
    <w:link w:val="CommentTextChar"/>
    <w:uiPriority w:val="99"/>
    <w:semiHidden/>
    <w:unhideWhenUsed/>
    <w:rsid w:val="00120E33"/>
    <w:pPr>
      <w:spacing w:line="240" w:lineRule="auto"/>
    </w:pPr>
    <w:rPr>
      <w:sz w:val="20"/>
      <w:szCs w:val="20"/>
    </w:rPr>
  </w:style>
  <w:style w:type="character" w:customStyle="1" w:styleId="CommentTextChar">
    <w:name w:val="Comment Text Char"/>
    <w:basedOn w:val="DefaultParagraphFont"/>
    <w:link w:val="CommentText"/>
    <w:uiPriority w:val="99"/>
    <w:semiHidden/>
    <w:rsid w:val="00120E33"/>
    <w:rPr>
      <w:sz w:val="20"/>
      <w:szCs w:val="20"/>
    </w:rPr>
  </w:style>
  <w:style w:type="paragraph" w:styleId="CommentSubject">
    <w:name w:val="annotation subject"/>
    <w:basedOn w:val="CommentText"/>
    <w:next w:val="CommentText"/>
    <w:link w:val="CommentSubjectChar"/>
    <w:uiPriority w:val="99"/>
    <w:semiHidden/>
    <w:unhideWhenUsed/>
    <w:rsid w:val="00120E33"/>
    <w:rPr>
      <w:b/>
      <w:bCs/>
    </w:rPr>
  </w:style>
  <w:style w:type="character" w:customStyle="1" w:styleId="CommentSubjectChar">
    <w:name w:val="Comment Subject Char"/>
    <w:basedOn w:val="CommentTextChar"/>
    <w:link w:val="CommentSubject"/>
    <w:uiPriority w:val="99"/>
    <w:semiHidden/>
    <w:rsid w:val="00120E33"/>
    <w:rPr>
      <w:b/>
      <w:bCs/>
      <w:sz w:val="20"/>
      <w:szCs w:val="20"/>
    </w:rPr>
  </w:style>
  <w:style w:type="paragraph" w:customStyle="1" w:styleId="Default">
    <w:name w:val="Default"/>
    <w:rsid w:val="005B4B63"/>
    <w:pPr>
      <w:autoSpaceDE w:val="0"/>
      <w:autoSpaceDN w:val="0"/>
      <w:adjustRightInd w:val="0"/>
      <w:spacing w:after="0" w:line="240" w:lineRule="auto"/>
    </w:pPr>
    <w:rPr>
      <w:rFonts w:ascii="Arial" w:hAnsi="Arial" w:cs="Arial"/>
      <w:color w:val="000000"/>
      <w:kern w:val="0"/>
    </w:rPr>
  </w:style>
  <w:style w:type="character" w:styleId="Hyperlink">
    <w:name w:val="Hyperlink"/>
    <w:basedOn w:val="DefaultParagraphFont"/>
    <w:uiPriority w:val="99"/>
    <w:unhideWhenUsed/>
    <w:rsid w:val="00B8447C"/>
    <w:rPr>
      <w:color w:val="467886" w:themeColor="hyperlink"/>
      <w:u w:val="single"/>
    </w:rPr>
  </w:style>
  <w:style w:type="character" w:styleId="UnresolvedMention">
    <w:name w:val="Unresolved Mention"/>
    <w:basedOn w:val="DefaultParagraphFont"/>
    <w:uiPriority w:val="99"/>
    <w:semiHidden/>
    <w:unhideWhenUsed/>
    <w:rsid w:val="00B8447C"/>
    <w:rPr>
      <w:color w:val="605E5C"/>
      <w:shd w:val="clear" w:color="auto" w:fill="E1DFDD"/>
    </w:rPr>
  </w:style>
  <w:style w:type="character" w:styleId="FollowedHyperlink">
    <w:name w:val="FollowedHyperlink"/>
    <w:basedOn w:val="DefaultParagraphFont"/>
    <w:uiPriority w:val="99"/>
    <w:semiHidden/>
    <w:unhideWhenUsed/>
    <w:rsid w:val="002D6EFA"/>
    <w:rPr>
      <w:color w:val="96607D" w:themeColor="followedHyperlink"/>
      <w:u w:val="single"/>
    </w:rPr>
  </w:style>
  <w:style w:type="paragraph" w:styleId="BodyText">
    <w:name w:val="Body Text"/>
    <w:basedOn w:val="Normal"/>
    <w:link w:val="BodyTextChar"/>
    <w:uiPriority w:val="1"/>
    <w:qFormat/>
    <w:rsid w:val="006C2E21"/>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customStyle="1" w:styleId="BodyTextChar">
    <w:name w:val="Body Text Char"/>
    <w:basedOn w:val="DefaultParagraphFont"/>
    <w:link w:val="BodyText"/>
    <w:uiPriority w:val="1"/>
    <w:rsid w:val="006C2E21"/>
    <w:rPr>
      <w:rFonts w:ascii="Times New Roman" w:eastAsia="Times New Roman" w:hAnsi="Times New Roman" w:cs="Times New Roman"/>
      <w:kern w:val="0"/>
      <w:sz w:val="22"/>
      <w:szCs w:val="22"/>
      <w14:ligatures w14:val="none"/>
    </w:rPr>
  </w:style>
  <w:style w:type="paragraph" w:styleId="Header">
    <w:name w:val="header"/>
    <w:basedOn w:val="Normal"/>
    <w:link w:val="HeaderChar"/>
    <w:uiPriority w:val="99"/>
    <w:unhideWhenUsed/>
    <w:rsid w:val="00B01C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CC0"/>
  </w:style>
  <w:style w:type="paragraph" w:styleId="Footer">
    <w:name w:val="footer"/>
    <w:basedOn w:val="Normal"/>
    <w:link w:val="FooterChar"/>
    <w:uiPriority w:val="99"/>
    <w:unhideWhenUsed/>
    <w:rsid w:val="00B01C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CC0"/>
  </w:style>
  <w:style w:type="character" w:styleId="PageNumber">
    <w:name w:val="page number"/>
    <w:basedOn w:val="DefaultParagraphFont"/>
    <w:uiPriority w:val="99"/>
    <w:semiHidden/>
    <w:unhideWhenUsed/>
    <w:rsid w:val="009A2D68"/>
  </w:style>
  <w:style w:type="character" w:customStyle="1" w:styleId="normaltextrun">
    <w:name w:val="normaltextrun"/>
    <w:basedOn w:val="DefaultParagraphFont"/>
    <w:rsid w:val="00DA1C69"/>
  </w:style>
  <w:style w:type="character" w:customStyle="1" w:styleId="scxw262215292">
    <w:name w:val="scxw262215292"/>
    <w:basedOn w:val="DefaultParagraphFont"/>
    <w:rsid w:val="00DA1C69"/>
  </w:style>
  <w:style w:type="character" w:customStyle="1" w:styleId="eop">
    <w:name w:val="eop"/>
    <w:basedOn w:val="DefaultParagraphFont"/>
    <w:rsid w:val="00DA1C69"/>
  </w:style>
  <w:style w:type="character" w:customStyle="1" w:styleId="apple-converted-space">
    <w:name w:val="apple-converted-space"/>
    <w:basedOn w:val="DefaultParagraphFont"/>
    <w:rsid w:val="00F94B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rcept.com/wp-content/uploads/Lifyorli_PI.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orcept.com/wp-content/uploads/Lifyorli_PI.pdf" TargetMode="External"/><Relationship Id="rId4" Type="http://schemas.openxmlformats.org/officeDocument/2006/relationships/settings" Target="settings.xml"/><Relationship Id="rId9" Type="http://schemas.openxmlformats.org/officeDocument/2006/relationships/hyperlink" Target="https://corcept.com/wp-content/uploads/Lifyorli_PI.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E8413-714A-6F4B-9405-B35C95755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1803</Words>
  <Characters>11799</Characters>
  <Application>Microsoft Office Word</Application>
  <DocSecurity>0</DocSecurity>
  <Lines>262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Levin</dc:creator>
  <cp:keywords/>
  <dc:description/>
  <cp:lastModifiedBy>Andrew Vang</cp:lastModifiedBy>
  <cp:revision>3</cp:revision>
  <cp:lastPrinted>2025-12-16T12:52:00Z</cp:lastPrinted>
  <dcterms:created xsi:type="dcterms:W3CDTF">2026-05-06T18:42:00Z</dcterms:created>
  <dcterms:modified xsi:type="dcterms:W3CDTF">2026-05-06T19:27:00Z</dcterms:modified>
</cp:coreProperties>
</file>